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9FE" w:rsidRPr="00977A1A" w:rsidRDefault="004979FE" w:rsidP="004979F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PROTOCOLO ICMS 103, DE 16 DE AGOSTO DE 2012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977A1A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 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Publicado no DOU de 17.08.12, pelo Despacho </w:t>
      </w:r>
      <w:hyperlink r:id="rId4" w:history="1">
        <w:r w:rsidRPr="00977A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155/12</w:t>
        </w:r>
      </w:hyperlink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977A1A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 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Alterado pelo Prot. ICMS </w:t>
      </w:r>
      <w:hyperlink r:id="rId5" w:history="1">
        <w:r w:rsidRPr="00977A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19/13</w:t>
        </w:r>
      </w:hyperlink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79FE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Symbol" w:eastAsia="Times New Roman" w:hAnsi="Symbol" w:cs="Times New Roman"/>
          <w:sz w:val="24"/>
          <w:szCs w:val="24"/>
          <w:lang w:eastAsia="pt-BR"/>
        </w:rPr>
        <w:t></w:t>
      </w:r>
      <w:r w:rsidRPr="00977A1A">
        <w:rPr>
          <w:rFonts w:ascii="Times New Roman" w:eastAsia="Times New Roman" w:hAnsi="Times New Roman" w:cs="Times New Roman"/>
          <w:sz w:val="14"/>
          <w:szCs w:val="14"/>
          <w:lang w:eastAsia="pt-BR"/>
        </w:rPr>
        <w:t xml:space="preserve">   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MA pelo Prot. ICMS </w:t>
      </w:r>
      <w:hyperlink r:id="rId6" w:history="1">
        <w:r w:rsidRPr="00977A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70/13</w:t>
        </w:r>
      </w:hyperlink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, efeitos a partir de 01.09.2013.</w:t>
      </w:r>
    </w:p>
    <w:p w:rsidR="004979FE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RJ pelo Prot. ICMS </w:t>
      </w:r>
      <w:r w:rsidRPr="00F759A7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pt-BR"/>
        </w:rPr>
        <w:t>67/14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efeitos a partir da data previst</w:t>
      </w:r>
      <w:r w:rsidR="007855EE">
        <w:rPr>
          <w:rFonts w:ascii="Times New Roman" w:eastAsia="Times New Roman" w:hAnsi="Times New Roman" w:cs="Times New Roman"/>
          <w:sz w:val="24"/>
          <w:szCs w:val="24"/>
          <w:lang w:eastAsia="pt-BR"/>
        </w:rPr>
        <w:t>o no Decreto do Poder Executivo do RJ.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substituição tributária nas operações com bebidas quentes.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Os Estados de Espírito Santo, Minas Gerais, Paraná, </w:t>
      </w:r>
      <w:r w:rsidR="003600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Rio de Janeiro, </w:t>
      </w:r>
      <w:r w:rsidRPr="00977A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Rio Grande do Sul e Santa Catarina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neste ato representados pelos seus respectivos Secretários de Fazenda, considerando o disposto nos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arts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. 102 e 199 do Código Tributário Nacional (Lei n. 5.172, de 25 de outubro de 1966), e no art. 9º da Lei Complementar n. 87/96, de 13 de setembro de 1996 e o disposto nos Convênios ICMS 81/93, de 10 de setembro de 1993, e 70/97, de 25 de julho de 1997, resolvem celebrar o seguinte</w:t>
      </w:r>
    </w:p>
    <w:p w:rsidR="004979FE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P R O T O C O L O</w:t>
      </w:r>
    </w:p>
    <w:p w:rsidR="00F759A7" w:rsidRPr="00F759A7" w:rsidRDefault="00F759A7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</w:pPr>
      <w:r w:rsidRPr="00F759A7">
        <w:rPr>
          <w:rFonts w:ascii="Times New Roman" w:eastAsia="Times New Roman" w:hAnsi="Times New Roman" w:cs="Times New Roman"/>
          <w:color w:val="C00000"/>
          <w:sz w:val="24"/>
          <w:szCs w:val="24"/>
          <w:lang w:eastAsia="pt-BR"/>
        </w:rPr>
        <w:t>Nova redação dada ao caput pelo prot. ICMS 67/14.</w:t>
      </w:r>
    </w:p>
    <w:p w:rsidR="004979FE" w:rsidRDefault="004979FE" w:rsidP="004979F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</w:pPr>
      <w:r w:rsidRPr="00977A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Cláusula primeira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980AC7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Nas operações interestaduais com as mercadorias listadas no Anexo Único deste protocolo, destinadas aos Estados de Espírito Santo, Minas Gerais, Paraná, Rio de Janeiro, Rio Grande do Sul e Santa Catarina, fica atribuída ao estabelecimento remetente, na qualidade de sujeito passivo por substituição tributária, a responsabilidade pela retenção e recolhimento do Imposto sobre Operações Relativas à Circulação de Mercadorias e sobre Prestações de Serviços de Transporte Interestadual e Intermunicipal e de Comunicação - ICMS relativo às operações su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bsequentes.</w:t>
      </w:r>
    </w:p>
    <w:p w:rsidR="00F759A7" w:rsidRPr="007855EE" w:rsidRDefault="00F759A7" w:rsidP="00785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pt-BR"/>
        </w:rPr>
      </w:pPr>
      <w:r w:rsidRPr="007855EE">
        <w:rPr>
          <w:rFonts w:ascii="Arial" w:eastAsia="Times New Roman" w:hAnsi="Arial" w:cs="Arial"/>
          <w:bCs/>
          <w:color w:val="70AD47" w:themeColor="accent6"/>
          <w:sz w:val="20"/>
          <w:szCs w:val="20"/>
          <w:lang w:eastAsia="pt-BR"/>
        </w:rPr>
        <w:t>Redação anterior, efeitos</w:t>
      </w:r>
      <w:r w:rsidR="007855EE" w:rsidRPr="007855EE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pt-BR"/>
        </w:rPr>
        <w:t xml:space="preserve"> </w:t>
      </w:r>
      <w:r w:rsidR="007855EE" w:rsidRPr="007855EE"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pt-BR"/>
        </w:rPr>
        <w:t>a partir da data previsto no Decreto do Poder Executivo do RJ.</w:t>
      </w:r>
    </w:p>
    <w:p w:rsidR="00F759A7" w:rsidRPr="007855EE" w:rsidRDefault="00F759A7" w:rsidP="004979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AD47" w:themeColor="accent6"/>
          <w:sz w:val="24"/>
          <w:szCs w:val="24"/>
          <w:lang w:eastAsia="pt-BR"/>
        </w:rPr>
      </w:pPr>
      <w:r w:rsidRPr="007855EE">
        <w:rPr>
          <w:b/>
          <w:bCs/>
          <w:color w:val="70AD47" w:themeColor="accent6"/>
        </w:rPr>
        <w:t xml:space="preserve">Cláusula primeira </w:t>
      </w:r>
      <w:r w:rsidRPr="007855EE">
        <w:rPr>
          <w:color w:val="70AD47" w:themeColor="accent6"/>
        </w:rPr>
        <w:t xml:space="preserve">Nas operações interestaduais com as mercadorias listadas no Anexo Único deste protocolo, destinadas aos Estados de Espírito Santo, Minas Gerais, Paraná, Rio Grande do Sul e Santa Catarina, fica atribuída ao estabelecimento remetente, na qualidade de sujeito passivo por substituição tributária, a responsabilidade pela retenção e recolhimento do Imposto sobre </w:t>
      </w:r>
      <w:r w:rsidRPr="007855EE">
        <w:rPr>
          <w:bCs/>
          <w:color w:val="70AD47" w:themeColor="accent6"/>
        </w:rPr>
        <w:t>Operações</w:t>
      </w:r>
      <w:r w:rsidRPr="007855EE">
        <w:rPr>
          <w:color w:val="70AD47" w:themeColor="accent6"/>
        </w:rPr>
        <w:t xml:space="preserve"> Relativas à Circulação de Mercadorias e s</w:t>
      </w:r>
      <w:bookmarkStart w:id="0" w:name="_GoBack"/>
      <w:bookmarkEnd w:id="0"/>
      <w:r w:rsidRPr="007855EE">
        <w:rPr>
          <w:color w:val="70AD47" w:themeColor="accent6"/>
        </w:rPr>
        <w:t xml:space="preserve">obre Prestações de Serviços de Transporte Interestadual e Intermunicipal e de Comunicação - ICMS relativo às operações </w:t>
      </w:r>
      <w:proofErr w:type="spellStart"/>
      <w:r w:rsidRPr="007855EE">
        <w:rPr>
          <w:color w:val="70AD47" w:themeColor="accent6"/>
        </w:rPr>
        <w:t>subseqüentes</w:t>
      </w:r>
      <w:proofErr w:type="spellEnd"/>
      <w:r w:rsidRPr="007855EE">
        <w:rPr>
          <w:color w:val="70AD47" w:themeColor="accent6"/>
        </w:rPr>
        <w:t>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1º. O disposto no </w:t>
      </w:r>
      <w:r w:rsidRPr="00977A1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caput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aplica-se também em relação ao imposto devido pela diferença entre a alíquota interna e a interestadual, na hipótese de entrada, em estabelecimento de contribuinte, decorrente de operação interestadual de mercadoria destinada a uso ou consumo.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§ 2º Nas operações com as mercadorias de que trata o </w:t>
      </w:r>
      <w:r w:rsidRPr="00977A1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caput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realizadas entre os Estados de Minas Gerais e Rio Grande do Sul aplicam-se as disposições contidas no </w:t>
      </w:r>
      <w:hyperlink r:id="rId7" w:history="1">
        <w:r w:rsidRPr="00977A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Protocolo ICMS 96/09</w:t>
        </w:r>
      </w:hyperlink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, de 23 de julho de 2009.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O disposto no </w:t>
      </w:r>
      <w:r w:rsidRPr="00977A1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caput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aplica-se às remessas da mercadoria constante do item IV do Anexo Único, quando originária do Estado de Minas Gerais, a partir de 1º de janeiro de 2013.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segunda 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disposto neste protocolo não se aplica: 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às transferências promovidas pelo industrial, ou pelo importador, às mercadorias por ele diretamente importadas, para outro estabelecimento da mesma pessoa jurídica, exceto varejista;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às operações que destinem mercadorias a estabelecimento industrial para emprego em processo de industrialização como matéria-prima, produto intermediário ou material de embalagem;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– às operações que destinem mercadorias a sujeito passivo por substituição que seja fabricante da mesma mercadoria; 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Na hipótese desta cláusula, a sujeição passiva por substituição tributária caberá ao estabelecimento destinatário, devendo tal circunstância ser indicada no campo "Informações Complementares" do respectivo documento fiscal.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Na hipótese de saída interestadual em transferência com destino a estabelecimento distribuidor, atacadista ou depósito, o disposto no inciso I somente se aplica se o estabelecimento destinatário operar exclusivamente com mercadorias recebidas em transferência do remetente.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Acrescentado o §3º à cláusula segunda pelo Protoc. ICMS 19/2013, efeitos a partir da data prevista em Decreto do Poder Executivo.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Em substituição ao disposto no inciso I, o disposto neste Protocolo não se aplica às operações entre estabelecimentos de empresas interdependentes e às transferências, que destinem mercadorias a estabelecimento de contribuinte localizado nos Estados do Paraná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oudo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Rio Grande do Sul, exceto se o destinatário for exclusivamente varejista.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Acrescentado o §4º à cláusula segunda pelo Protoc. ICMS 19/2013, efeitos a partir da data prevista em Decreto do Poder Executivo.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§ 4º Para fins do disposto nesta cláusula, consideram-se estabelecimentos de empresas interdependentes quando: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a) uma delas, por si, seus sócios ou acionistas, e respectivos cônjuges e filhos menores, for titular de mais de 50% (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cinqüenta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cento) do capital da outra;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uma delas tiver participação na outra de 15% (quinze por cento) ou mais do capital social, por si, seus sócios ou acionistas, bem assim por intermédio de parentes destes até 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o segundo grau e respectivos cônjuges, se a participação societária for de pessoa física (Lei federal 4.502/64, art. 42, I, e Lei federal 7.798/89, art. 9°);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c) uma mesma pessoa fizer parte de ambas, na qualidade de diretor, ou sócio com funções de gerência, ainda que exercidas sob outra denominação (Lei federal 4.502/64, art. 42, II);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d) uma tiver vendido ou consignado à outra, no ano anterior, mais de 20% (vinte por cento), no caso de distribuição com exclusividade em determinada área do território nacional, e mais de 50% (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cinqüenta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cento), nos demais casos, do seu volume de vendas (Lei federal 4.502/64, art. 42, III);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e) uma delas, por qualquer forma ou título, for a única adquirente, de um ou de mais de um dos produtos da outra, ainda quando a exclusividade se refira à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padronagem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marca ou tipo do produto (Lei federal 4.502/64, art. 42, parágrafo único, I); 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f) uma vender à outra, mediante contrato de participação ou ajuste semelhante, produto que tenha fabricado ou importado (Lei federal 4.502/64, art. 42, parágrafo único, II).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Cláusula terceira 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base de cálculo do imposto, para os fins de substituição tributária, será o valor correspondente ao preço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consumidor constante na legislação do Estado de destino da mercadoria para suas operações internas com produto mencionado no Anexo Único deste protocolo.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Em substituição ao valor de que trata o </w:t>
      </w:r>
      <w:r w:rsidRPr="00977A1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caput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legislação do Estado de destino da mercadoria poderá fixar a base de cálculo do imposto como sendo o preço praticado pelo remetente, incluídos os valores correspondentes a frete, seguro, impostos, contribuições e outros encargos transferíveis ou cobrados do destinatário, ainda que por terceiros, adicionado da parcela resultante da aplicação, sobre o referido montante, do percentual de margem de valor agregado ajustada (“MVA Ajustada”), calculado segundo a fórmula “MVA ajustada = [(1+ MVA ST original) x (1 - ALQ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inter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/ (1- ALQ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intra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)] -1”, onde: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 - “MVA ST original” é a margem de valor agregado prevista na legislação do Estado do destinatário para suas operações internas com produto mencionado no Anexo Único deste protocolo.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proofErr w:type="gram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-“</w:t>
      </w:r>
      <w:proofErr w:type="gram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ALQ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inter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” é o coeficiente correspondente à alíquota interestadual aplicável à operação;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“ALQ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intra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” é o coeficiente correspondente à alíquota interna ou percentual de carga tributária efetiva, quando este for inferior à alíquota interna, praticada pelo contribuinte substituto da unidade federada de destino, nas operações com as mesmas mercadorias listadas no Anexo Único. 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Na hipótese de a “ALQ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intra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” ser inferior à “ALQ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inter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”, deverá ser aplicada a “MVA – ST original”, sem o ajuste previsto no § 1º.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Na impossibilidade de inclusão do valor do frete, seguro ou outro encargo na composição da base de cálculo, o recolhimento do imposto correspondente a essas 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parcelas será efetuado pelo estabelecimento destinatário, acrescido dos percentuais de margem de valor agregado previstos nesta cláusula.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quarta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imposto a ser retido pelo sujeito passivo por substituição será calculado mediante a aplicação da alíquota vigente para as operações internas na unidade federada de destino, sobre a base cálculo prevista neste protocolo, deduzindo-se, do valor obtido, o imposto devido pela operação própria do remetente.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quinta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imposto retido pelo sujeito passivo por substituição regulamente inscrito no cadastro de contribuintes na unidade federada de destino será recolhido até o dia 9 (nove) do mês </w:t>
      </w:r>
      <w:proofErr w:type="spellStart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subseqüente</w:t>
      </w:r>
      <w:proofErr w:type="spellEnd"/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da remessa da mercadoria, mediante Guia Nacional de Recolhimento de Tributos Estaduais – GNRE, na forma do </w:t>
      </w:r>
      <w:hyperlink r:id="rId8" w:history="1">
        <w:r w:rsidRPr="00977A1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Convênio ICMS 81/93</w:t>
        </w:r>
      </w:hyperlink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, de 10 de setembro de 1993, ou documento de arrecadação do Estado de destino.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sexta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condicionada a aplicação deste Protocolo à mercadoria para a qual exista previsão da substituição tributária na legislação interna do Estado signatário de destino.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Os Estados signatários acordam em adequar as margens de valor agregado ajustadas para equalizar a carga tributária em razão da diferença entre a efetiva tributação da operação própria e a alíquota interna na unidade federada destinatária, com relação às entradas de mercadorias provenientes de outras unidades da Federação.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Cláusula sétima 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protocolo poderá ser denunciado, em conjunto ou isoladamente, pelos signatários, desde que comunicado </w:t>
      </w:r>
      <w:r w:rsidRPr="00977A1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antecedência mínima de 30 (trinta) dias.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Cláusula oitava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Este protocolo entra em vigor na data de sua publicação no Diário Oficial da União, produzindo efeitos a partir</w:t>
      </w:r>
      <w:r w:rsidRPr="00977A1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da data prevista em decreto do Poder Executivo do Estado destinatário</w:t>
      </w:r>
      <w:r w:rsidRPr="00977A1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ANEXO ÚNICO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I. APERITIVOS, AMARGOS, BITTER E SIMILARES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II. BATIDA E SIMILARES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III. BEBIDA ICE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IV. CACHAÇA 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V. CATUABA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VI. CONHAQUE, BRANDY E SIMILARES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VII. COOLER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VIII. GIN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IX. JURUBEBA E SIMILARES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X. LICORES E SIMILARES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XI. PISCO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XII. RUN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XIII. SAQUE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XIV. STEINHAEGER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XV. TEQUILA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XVI. UÍSQUE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XVII. VERMUTE E SIMILARES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XVIII. VODKA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XIX. DERIVADOS DE VODKA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XX. ARAK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XXI. AGUARDENTE VÍNICA / GRAPPA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XXII. SIDRA E SIMILARES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XXIII. SANGRIAS E COQUETÉIS</w:t>
      </w:r>
    </w:p>
    <w:p w:rsidR="004979FE" w:rsidRPr="00977A1A" w:rsidRDefault="004979FE" w:rsidP="004979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7A1A">
        <w:rPr>
          <w:rFonts w:ascii="Times New Roman" w:eastAsia="Times New Roman" w:hAnsi="Times New Roman" w:cs="Times New Roman"/>
          <w:sz w:val="24"/>
          <w:szCs w:val="24"/>
          <w:lang w:eastAsia="pt-BR"/>
        </w:rPr>
        <w:t>XXIV. VINHOS</w:t>
      </w:r>
    </w:p>
    <w:p w:rsidR="00286115" w:rsidRDefault="00286115"/>
    <w:sectPr w:rsidR="002861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FE"/>
    <w:rsid w:val="00286115"/>
    <w:rsid w:val="00360079"/>
    <w:rsid w:val="004979FE"/>
    <w:rsid w:val="007855EE"/>
    <w:rsid w:val="00F7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48302-CD38-4AE3-A54B-A0848D6F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9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fazenda.gov.br/confaz/confaz/Convenios/ICMS/1993/CV081_93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1.fazenda.gov.br/confaz/confaz/protocolos/ICMS/2009/PT096_0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.fazenda.gov.br/confaz/confaz/protocolos/ICMS/2013/PT070_13.htm" TargetMode="External"/><Relationship Id="rId5" Type="http://schemas.openxmlformats.org/officeDocument/2006/relationships/hyperlink" Target="https://www1.fazenda.gov.br/confaz/confaz/protocolos/ICMS/2013/PT019_13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1.fazenda.gov.br/confaz/confaz/Atos/Despacho/2012/DP155_12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1631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10422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Vieira de Oliveira</dc:creator>
  <cp:keywords/>
  <dc:description/>
  <cp:lastModifiedBy>sefa</cp:lastModifiedBy>
  <cp:revision>3</cp:revision>
  <dcterms:created xsi:type="dcterms:W3CDTF">2015-01-06T12:58:00Z</dcterms:created>
  <dcterms:modified xsi:type="dcterms:W3CDTF">2015-04-23T17:43:00Z</dcterms:modified>
</cp:coreProperties>
</file>