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PROTOCOLO ICMS 85, DE 30 DE SETEMBRO DE 2011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Publicado no DOU de 13.10.11, pelo Despacho </w:t>
      </w:r>
      <w:hyperlink r:id="rId4" w:history="1">
        <w:r w:rsidRPr="00477907">
          <w:rPr>
            <w:rFonts w:ascii="Times New Roman" w:eastAsia="Times New Roman" w:hAnsi="Times New Roman" w:cs="Times New Roman"/>
            <w:color w:val="0000FF"/>
            <w:sz w:val="24"/>
            <w:szCs w:val="24"/>
            <w:u w:val="single"/>
            <w:lang w:eastAsia="pt-BR"/>
          </w:rPr>
          <w:t>186/</w:t>
        </w:r>
        <w:proofErr w:type="gramStart"/>
        <w:r w:rsidRPr="00477907">
          <w:rPr>
            <w:rFonts w:ascii="Times New Roman" w:eastAsia="Times New Roman" w:hAnsi="Times New Roman" w:cs="Times New Roman"/>
            <w:color w:val="0000FF"/>
            <w:sz w:val="24"/>
            <w:szCs w:val="24"/>
            <w:u w:val="single"/>
            <w:lang w:eastAsia="pt-BR"/>
          </w:rPr>
          <w:t xml:space="preserve">11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Vide, quanto à aplicação no Estado de SE, o Despacho </w:t>
      </w:r>
      <w:hyperlink r:id="rId5" w:history="1">
        <w:r w:rsidRPr="00477907">
          <w:rPr>
            <w:rFonts w:ascii="Times New Roman" w:eastAsia="Times New Roman" w:hAnsi="Times New Roman" w:cs="Times New Roman"/>
            <w:color w:val="0000FF"/>
            <w:sz w:val="24"/>
            <w:szCs w:val="24"/>
            <w:u w:val="single"/>
            <w:lang w:eastAsia="pt-BR"/>
          </w:rPr>
          <w:t>230/</w:t>
        </w:r>
        <w:proofErr w:type="gramStart"/>
        <w:r w:rsidRPr="00477907">
          <w:rPr>
            <w:rFonts w:ascii="Times New Roman" w:eastAsia="Times New Roman" w:hAnsi="Times New Roman" w:cs="Times New Roman"/>
            <w:color w:val="0000FF"/>
            <w:sz w:val="24"/>
            <w:szCs w:val="24"/>
            <w:u w:val="single"/>
            <w:lang w:eastAsia="pt-BR"/>
          </w:rPr>
          <w:t xml:space="preserve">11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Vide, quanto à aplicação no Estado de GO, o Despacho </w:t>
      </w:r>
      <w:hyperlink r:id="rId6" w:history="1">
        <w:r w:rsidRPr="00477907">
          <w:rPr>
            <w:rFonts w:ascii="Times New Roman" w:eastAsia="Times New Roman" w:hAnsi="Times New Roman" w:cs="Times New Roman"/>
            <w:color w:val="0000FF"/>
            <w:sz w:val="24"/>
            <w:szCs w:val="24"/>
            <w:u w:val="single"/>
            <w:lang w:eastAsia="pt-BR"/>
          </w:rPr>
          <w:t>235/</w:t>
        </w:r>
        <w:proofErr w:type="gramStart"/>
        <w:r w:rsidRPr="00477907">
          <w:rPr>
            <w:rFonts w:ascii="Times New Roman" w:eastAsia="Times New Roman" w:hAnsi="Times New Roman" w:cs="Times New Roman"/>
            <w:color w:val="0000FF"/>
            <w:sz w:val="24"/>
            <w:szCs w:val="24"/>
            <w:u w:val="single"/>
            <w:lang w:eastAsia="pt-BR"/>
          </w:rPr>
          <w:t xml:space="preserve">11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Adesão do DF pelo Protocolo </w:t>
      </w:r>
      <w:hyperlink r:id="rId7" w:history="1">
        <w:r w:rsidRPr="00477907">
          <w:rPr>
            <w:rFonts w:ascii="Times New Roman" w:eastAsia="Times New Roman" w:hAnsi="Times New Roman" w:cs="Times New Roman"/>
            <w:color w:val="0000FF"/>
            <w:sz w:val="24"/>
            <w:szCs w:val="24"/>
            <w:u w:val="single"/>
            <w:lang w:eastAsia="pt-BR"/>
          </w:rPr>
          <w:t>71/</w:t>
        </w:r>
        <w:proofErr w:type="gramStart"/>
        <w:r w:rsidRPr="00477907">
          <w:rPr>
            <w:rFonts w:ascii="Times New Roman" w:eastAsia="Times New Roman" w:hAnsi="Times New Roman" w:cs="Times New Roman"/>
            <w:color w:val="0000FF"/>
            <w:sz w:val="24"/>
            <w:szCs w:val="24"/>
            <w:u w:val="single"/>
            <w:lang w:eastAsia="pt-BR"/>
          </w:rPr>
          <w:t xml:space="preserve">12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efeitos a partir da data prevista em ato do Poder Executivo distrital.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Adesão do RJ pelo Protocolo </w:t>
      </w:r>
      <w:hyperlink r:id="rId8" w:history="1">
        <w:r w:rsidRPr="00477907">
          <w:rPr>
            <w:rFonts w:ascii="Times New Roman" w:eastAsia="Times New Roman" w:hAnsi="Times New Roman" w:cs="Times New Roman"/>
            <w:color w:val="0000FF"/>
            <w:sz w:val="24"/>
            <w:szCs w:val="24"/>
            <w:u w:val="single"/>
            <w:lang w:eastAsia="pt-BR"/>
          </w:rPr>
          <w:t>170/</w:t>
        </w:r>
        <w:proofErr w:type="gramStart"/>
        <w:r w:rsidRPr="00477907">
          <w:rPr>
            <w:rFonts w:ascii="Times New Roman" w:eastAsia="Times New Roman" w:hAnsi="Times New Roman" w:cs="Times New Roman"/>
            <w:color w:val="0000FF"/>
            <w:sz w:val="24"/>
            <w:szCs w:val="24"/>
            <w:u w:val="single"/>
            <w:lang w:eastAsia="pt-BR"/>
          </w:rPr>
          <w:t xml:space="preserve">12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efeitos a partir da data prevista na legislação do Estado do Rio de Janeiro.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Exclusão do RN pelo Protocolo </w:t>
      </w:r>
      <w:hyperlink r:id="rId9" w:history="1">
        <w:r w:rsidRPr="00477907">
          <w:rPr>
            <w:rFonts w:ascii="Times New Roman" w:eastAsia="Times New Roman" w:hAnsi="Times New Roman" w:cs="Times New Roman"/>
            <w:color w:val="0000FF"/>
            <w:sz w:val="24"/>
            <w:szCs w:val="24"/>
            <w:u w:val="single"/>
            <w:lang w:eastAsia="pt-BR"/>
          </w:rPr>
          <w:t>170/</w:t>
        </w:r>
        <w:proofErr w:type="gramStart"/>
        <w:r w:rsidRPr="00477907">
          <w:rPr>
            <w:rFonts w:ascii="Times New Roman" w:eastAsia="Times New Roman" w:hAnsi="Times New Roman" w:cs="Times New Roman"/>
            <w:color w:val="0000FF"/>
            <w:sz w:val="24"/>
            <w:szCs w:val="24"/>
            <w:u w:val="single"/>
            <w:lang w:eastAsia="pt-BR"/>
          </w:rPr>
          <w:t xml:space="preserve">12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efeitos a partir de 14.12.12.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Alterado pelos Prots. ICMS </w:t>
      </w:r>
      <w:hyperlink r:id="rId10" w:history="1">
        <w:r w:rsidRPr="00477907">
          <w:rPr>
            <w:rFonts w:ascii="Times New Roman" w:eastAsia="Times New Roman" w:hAnsi="Times New Roman" w:cs="Times New Roman"/>
            <w:color w:val="0000FF"/>
            <w:sz w:val="24"/>
            <w:szCs w:val="24"/>
            <w:u w:val="single"/>
            <w:lang w:eastAsia="pt-BR"/>
          </w:rPr>
          <w:t>221/</w:t>
        </w:r>
        <w:proofErr w:type="gramStart"/>
        <w:r w:rsidRPr="00477907">
          <w:rPr>
            <w:rFonts w:ascii="Times New Roman" w:eastAsia="Times New Roman" w:hAnsi="Times New Roman" w:cs="Times New Roman"/>
            <w:color w:val="0000FF"/>
            <w:sz w:val="24"/>
            <w:szCs w:val="24"/>
            <w:u w:val="single"/>
            <w:lang w:eastAsia="pt-BR"/>
          </w:rPr>
          <w:t xml:space="preserve">12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w:t>
      </w:r>
      <w:hyperlink r:id="rId11" w:history="1">
        <w:r w:rsidRPr="00477907">
          <w:rPr>
            <w:rFonts w:ascii="Times New Roman" w:eastAsia="Times New Roman" w:hAnsi="Times New Roman" w:cs="Times New Roman"/>
            <w:color w:val="0000FF"/>
            <w:sz w:val="24"/>
            <w:szCs w:val="24"/>
            <w:u w:val="single"/>
            <w:lang w:eastAsia="pt-BR"/>
          </w:rPr>
          <w:t xml:space="preserve">161/13 </w:t>
        </w:r>
      </w:hyperlink>
      <w:r w:rsidRPr="00477907">
        <w:rPr>
          <w:rFonts w:ascii="Times New Roman" w:eastAsia="Times New Roman" w:hAnsi="Times New Roman" w:cs="Times New Roman"/>
          <w:sz w:val="24"/>
          <w:szCs w:val="24"/>
          <w:lang w:eastAsia="pt-BR"/>
        </w:rPr>
        <w:t xml:space="preserv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Adesão da PB pelo Protocolo ICMS </w:t>
      </w:r>
      <w:hyperlink r:id="rId12" w:history="1">
        <w:r w:rsidRPr="00477907">
          <w:rPr>
            <w:rFonts w:ascii="Times New Roman" w:eastAsia="Times New Roman" w:hAnsi="Times New Roman" w:cs="Times New Roman"/>
            <w:color w:val="0000FF"/>
            <w:sz w:val="24"/>
            <w:szCs w:val="24"/>
            <w:u w:val="single"/>
            <w:lang w:eastAsia="pt-BR"/>
          </w:rPr>
          <w:t>221/</w:t>
        </w:r>
        <w:proofErr w:type="gramStart"/>
        <w:r w:rsidRPr="00477907">
          <w:rPr>
            <w:rFonts w:ascii="Times New Roman" w:eastAsia="Times New Roman" w:hAnsi="Times New Roman" w:cs="Times New Roman"/>
            <w:color w:val="0000FF"/>
            <w:sz w:val="24"/>
            <w:szCs w:val="24"/>
            <w:u w:val="single"/>
            <w:lang w:eastAsia="pt-BR"/>
          </w:rPr>
          <w:t xml:space="preserve">12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efeitos na data prevista em ato do Poder Executivo do Estado da Paraíba.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Vide, quanto à aplicação ao DF, o Despacho </w:t>
      </w:r>
      <w:hyperlink r:id="rId13" w:history="1">
        <w:r w:rsidRPr="00477907">
          <w:rPr>
            <w:rFonts w:ascii="Times New Roman" w:eastAsia="Times New Roman" w:hAnsi="Times New Roman" w:cs="Times New Roman"/>
            <w:color w:val="0000FF"/>
            <w:sz w:val="24"/>
            <w:szCs w:val="24"/>
            <w:u w:val="single"/>
            <w:lang w:eastAsia="pt-BR"/>
          </w:rPr>
          <w:t>255/</w:t>
        </w:r>
        <w:proofErr w:type="gramStart"/>
        <w:r w:rsidRPr="00477907">
          <w:rPr>
            <w:rFonts w:ascii="Times New Roman" w:eastAsia="Times New Roman" w:hAnsi="Times New Roman" w:cs="Times New Roman"/>
            <w:color w:val="0000FF"/>
            <w:sz w:val="24"/>
            <w:szCs w:val="24"/>
            <w:u w:val="single"/>
            <w:lang w:eastAsia="pt-BR"/>
          </w:rPr>
          <w:t xml:space="preserve">12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Symbol" w:eastAsia="Times New Roman" w:hAnsi="Symbol" w:cs="Times New Roman"/>
          <w:sz w:val="24"/>
          <w:szCs w:val="24"/>
          <w:lang w:eastAsia="pt-BR"/>
        </w:rPr>
        <w:t></w:t>
      </w:r>
      <w:r w:rsidRPr="00477907">
        <w:rPr>
          <w:rFonts w:ascii="Symbol" w:eastAsia="Times New Roman" w:hAnsi="Symbol" w:cs="Times New Roman"/>
          <w:sz w:val="24"/>
          <w:szCs w:val="24"/>
          <w:lang w:eastAsia="pt-BR"/>
        </w:rPr>
        <w:t></w:t>
      </w:r>
      <w:r w:rsidRPr="00477907">
        <w:rPr>
          <w:rFonts w:ascii="Times New Roman" w:eastAsia="Times New Roman" w:hAnsi="Times New Roman" w:cs="Times New Roman"/>
          <w:sz w:val="14"/>
          <w:szCs w:val="14"/>
          <w:lang w:eastAsia="pt-BR"/>
        </w:rPr>
        <w:t xml:space="preserve">   </w:t>
      </w:r>
      <w:r w:rsidRPr="00477907">
        <w:rPr>
          <w:rFonts w:ascii="Times New Roman" w:eastAsia="Times New Roman" w:hAnsi="Times New Roman" w:cs="Times New Roman"/>
          <w:sz w:val="24"/>
          <w:szCs w:val="24"/>
          <w:lang w:eastAsia="pt-BR"/>
        </w:rPr>
        <w:t xml:space="preserve">Exclusão do MA pelo Prot. ICMS </w:t>
      </w:r>
      <w:hyperlink r:id="rId14" w:history="1">
        <w:r w:rsidRPr="00477907">
          <w:rPr>
            <w:rFonts w:ascii="Times New Roman" w:eastAsia="Times New Roman" w:hAnsi="Times New Roman" w:cs="Times New Roman"/>
            <w:color w:val="0000FF"/>
            <w:sz w:val="24"/>
            <w:szCs w:val="24"/>
            <w:u w:val="single"/>
            <w:lang w:eastAsia="pt-BR"/>
          </w:rPr>
          <w:t>161/</w:t>
        </w:r>
        <w:proofErr w:type="gramStart"/>
        <w:r w:rsidRPr="00477907">
          <w:rPr>
            <w:rFonts w:ascii="Times New Roman" w:eastAsia="Times New Roman" w:hAnsi="Times New Roman" w:cs="Times New Roman"/>
            <w:color w:val="0000FF"/>
            <w:sz w:val="24"/>
            <w:szCs w:val="24"/>
            <w:u w:val="single"/>
            <w:lang w:eastAsia="pt-BR"/>
          </w:rPr>
          <w:t xml:space="preserve">13 </w:t>
        </w:r>
      </w:hyperlink>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efeitos a partir de 01.01.14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Dispõe sobre a substituição tributária nas operações com materiais de construção, acabamento, bricolagem ou adorno.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sz w:val="24"/>
          <w:szCs w:val="24"/>
          <w:lang w:eastAsia="pt-BR"/>
        </w:rPr>
        <w:t xml:space="preserve">Os Estados do Acre, Amapá, Goiás, Maranhão, Mato Grosso, Mato Grosso do Sul, Minas Gerais, Paraná, Pernambuco, Rio Grande do Norte, Rio Grande do Sul, Rondônia e </w:t>
      </w:r>
      <w:proofErr w:type="gramStart"/>
      <w:r w:rsidRPr="00477907">
        <w:rPr>
          <w:rFonts w:ascii="Times New Roman" w:eastAsia="Times New Roman" w:hAnsi="Times New Roman" w:cs="Times New Roman"/>
          <w:b/>
          <w:sz w:val="24"/>
          <w:szCs w:val="24"/>
          <w:lang w:eastAsia="pt-BR"/>
        </w:rPr>
        <w:t xml:space="preserve">Sergipe </w:t>
      </w:r>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neste ato representados pelos seus respectivos Secretários de Fazenda, </w:t>
      </w:r>
      <w:r w:rsidRPr="00477907">
        <w:rPr>
          <w:rFonts w:ascii="Times New Roman" w:eastAsia="Times New Roman" w:hAnsi="Times New Roman" w:cs="Times New Roman"/>
          <w:bCs/>
          <w:sz w:val="24"/>
          <w:szCs w:val="24"/>
          <w:lang w:eastAsia="pt-BR"/>
        </w:rPr>
        <w:t xml:space="preserve">Finanças ou Tributação e Gerente de Receita, </w:t>
      </w:r>
      <w:r w:rsidRPr="00477907">
        <w:rPr>
          <w:rFonts w:ascii="Times New Roman" w:eastAsia="Times New Roman" w:hAnsi="Times New Roman" w:cs="Times New Roman"/>
          <w:sz w:val="24"/>
          <w:szCs w:val="24"/>
          <w:lang w:eastAsia="pt-BR"/>
        </w:rPr>
        <w:t xml:space="preserve">reunidos em Manaus, AM, no dia 30 </w:t>
      </w:r>
      <w:r w:rsidRPr="00477907">
        <w:rPr>
          <w:rFonts w:ascii="Times New Roman" w:eastAsia="Times New Roman" w:hAnsi="Times New Roman" w:cs="Times New Roman"/>
          <w:bCs/>
          <w:sz w:val="24"/>
          <w:szCs w:val="24"/>
          <w:lang w:eastAsia="pt-BR"/>
        </w:rPr>
        <w:t xml:space="preserve">de setembro de 2011 </w:t>
      </w:r>
      <w:r w:rsidRPr="00477907">
        <w:rPr>
          <w:rFonts w:ascii="Times New Roman" w:eastAsia="Times New Roman" w:hAnsi="Times New Roman" w:cs="Times New Roman"/>
          <w:sz w:val="24"/>
          <w:szCs w:val="24"/>
          <w:lang w:eastAsia="pt-BR"/>
        </w:rPr>
        <w:t xml:space="preserve">, considerando o disposto nos arts. 102 e 199 do Código Tributário Nacional (Lei nº 5.172, de 25 de outubro de 1966), e no art. 9º da Lei Complementar nº 87/96, de 13 de setembro de 1996, e o disposto nos Convênios ICMS 81/93, de 10 de setembro de 1993, e 70/97, de 25 de julho de 1997, resolvem celebrar o seguinte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 R O T O C O L 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bCs/>
          <w:sz w:val="24"/>
          <w:szCs w:val="24"/>
          <w:lang w:eastAsia="pt-BR"/>
        </w:rPr>
        <w:t xml:space="preserve">Cláusula primeira </w:t>
      </w:r>
      <w:r w:rsidRPr="00477907">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w:t>
      </w:r>
      <w:r w:rsidRPr="00477907">
        <w:rPr>
          <w:rFonts w:ascii="Times New Roman" w:eastAsia="Times New Roman" w:hAnsi="Times New Roman" w:cs="Times New Roman"/>
          <w:bCs/>
          <w:sz w:val="24"/>
          <w:szCs w:val="24"/>
          <w:lang w:eastAsia="pt-BR"/>
        </w:rPr>
        <w:t xml:space="preserve">Nomenclatura Comum </w:t>
      </w:r>
      <w:r w:rsidRPr="00477907">
        <w:rPr>
          <w:rFonts w:ascii="Times New Roman" w:eastAsia="Times New Roman" w:hAnsi="Times New Roman" w:cs="Times New Roman"/>
          <w:sz w:val="24"/>
          <w:szCs w:val="24"/>
          <w:lang w:eastAsia="pt-BR"/>
        </w:rPr>
        <w:t xml:space="preserve">do Mercosul/Sistema Harmonizado - </w:t>
      </w:r>
      <w:r w:rsidRPr="00477907">
        <w:rPr>
          <w:rFonts w:ascii="Times New Roman" w:eastAsia="Times New Roman" w:hAnsi="Times New Roman" w:cs="Times New Roman"/>
          <w:bCs/>
          <w:sz w:val="24"/>
          <w:szCs w:val="24"/>
          <w:lang w:eastAsia="pt-BR"/>
        </w:rPr>
        <w:t xml:space="preserve">NCM </w:t>
      </w:r>
      <w:r w:rsidRPr="00477907">
        <w:rPr>
          <w:rFonts w:ascii="Times New Roman" w:eastAsia="Times New Roman" w:hAnsi="Times New Roman" w:cs="Times New Roman"/>
          <w:sz w:val="24"/>
          <w:szCs w:val="24"/>
          <w:lang w:eastAsia="pt-BR"/>
        </w:rPr>
        <w:t xml:space="preserve">/ </w:t>
      </w:r>
      <w:r w:rsidRPr="00477907">
        <w:rPr>
          <w:rFonts w:ascii="Times New Roman" w:eastAsia="Times New Roman" w:hAnsi="Times New Roman" w:cs="Times New Roman"/>
          <w:bCs/>
          <w:sz w:val="24"/>
          <w:szCs w:val="24"/>
          <w:lang w:eastAsia="pt-BR"/>
        </w:rPr>
        <w:t xml:space="preserve">SH - </w:t>
      </w:r>
      <w:r w:rsidRPr="00477907">
        <w:rPr>
          <w:rFonts w:ascii="Times New Roman" w:eastAsia="Times New Roman" w:hAnsi="Times New Roman" w:cs="Times New Roman"/>
          <w:sz w:val="24"/>
          <w:szCs w:val="24"/>
          <w:lang w:eastAsia="pt-BR"/>
        </w:rPr>
        <w:t xml:space="preserve">, destinadas aos estados signatários, fica atribuída ao contribuinte industrial ou importador, na qualidade de sujeito passivo por substituição tributária, a responsabilidade pela retenção e recolhimento do Imposto sobre </w:t>
      </w:r>
      <w:r w:rsidRPr="00477907">
        <w:rPr>
          <w:rFonts w:ascii="Times New Roman" w:eastAsia="Times New Roman" w:hAnsi="Times New Roman" w:cs="Times New Roman"/>
          <w:bCs/>
          <w:sz w:val="24"/>
          <w:szCs w:val="24"/>
          <w:lang w:eastAsia="pt-BR"/>
        </w:rPr>
        <w:t xml:space="preserve">Operações </w:t>
      </w:r>
      <w:r w:rsidRPr="00477907">
        <w:rPr>
          <w:rFonts w:ascii="Times New Roman" w:eastAsia="Times New Roman" w:hAnsi="Times New Roman" w:cs="Times New Roman"/>
          <w:sz w:val="24"/>
          <w:szCs w:val="24"/>
          <w:lang w:eastAsia="pt-BR"/>
        </w:rPr>
        <w:t xml:space="preserve">Relativas à Circulação de Mercadorias e sobre Prestações de Serviços de Transporte Interestadual e Intermunicipal e de Comunicação - ICMS - relativo às operações subsequentes.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lastRenderedPageBreak/>
        <w:t xml:space="preserve">§ 1º </w:t>
      </w:r>
      <w:r w:rsidRPr="00477907">
        <w:rPr>
          <w:rFonts w:ascii="Times New Roman" w:eastAsia="Times New Roman" w:hAnsi="Times New Roman" w:cs="Times New Roman"/>
          <w:sz w:val="24"/>
          <w:szCs w:val="24"/>
          <w:lang w:eastAsia="pt-BR"/>
        </w:rPr>
        <w:t xml:space="preserve">O disposto no </w:t>
      </w:r>
      <w:r w:rsidRPr="00477907">
        <w:rPr>
          <w:rFonts w:ascii="Times New Roman" w:eastAsia="Times New Roman" w:hAnsi="Times New Roman" w:cs="Times New Roman"/>
          <w:i/>
          <w:sz w:val="24"/>
          <w:szCs w:val="24"/>
          <w:lang w:eastAsia="pt-BR"/>
        </w:rPr>
        <w:t xml:space="preserve">caput </w:t>
      </w:r>
      <w:r w:rsidRPr="00477907">
        <w:rPr>
          <w:rFonts w:ascii="Times New Roman" w:eastAsia="Times New Roman" w:hAnsi="Times New Roman" w:cs="Times New Roman"/>
          <w:sz w:val="24"/>
          <w:szCs w:val="24"/>
          <w:lang w:eastAsia="pt-BR"/>
        </w:rPr>
        <w:t xml:space="preserve">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ou consumo ou ativo permanente.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Nova redação dada ao </w:t>
      </w:r>
      <w:r w:rsidRPr="00477907">
        <w:rPr>
          <w:rFonts w:ascii="Times New Roman" w:eastAsia="Times New Roman" w:hAnsi="Times New Roman" w:cs="Times New Roman"/>
          <w:sz w:val="24"/>
          <w:szCs w:val="24"/>
          <w:lang w:eastAsia="zh-CN"/>
        </w:rPr>
        <w:t xml:space="preserve">§ 2º da cláusula primeira </w:t>
      </w:r>
      <w:r w:rsidRPr="00477907">
        <w:rPr>
          <w:rFonts w:ascii="Times New Roman" w:eastAsia="Times New Roman" w:hAnsi="Times New Roman" w:cs="Times New Roman"/>
          <w:sz w:val="24"/>
          <w:szCs w:val="24"/>
          <w:lang w:eastAsia="pt-BR"/>
        </w:rPr>
        <w:t xml:space="preserve">pelo Prot. ICMS 221/12, efeitos a partir de 30.01.13.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2º O disposto neste protocolo não se aplica às operações interestaduais: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 - com destino a estabelecimento de contribuintes localizados nos estados do Mato Grosso, Mato Grosso do Sul, Pernambuco, Rio Grande do Norte, Rio Grande do Sul e Rondônia.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Nova redação dada ao inciso II do </w:t>
      </w:r>
      <w:r w:rsidRPr="00477907">
        <w:rPr>
          <w:rFonts w:ascii="Times New Roman" w:eastAsia="Times New Roman" w:hAnsi="Times New Roman" w:cs="Times New Roman"/>
          <w:sz w:val="24"/>
          <w:szCs w:val="24"/>
          <w:lang w:eastAsia="zh-CN"/>
        </w:rPr>
        <w:t xml:space="preserve">§ 2º da cláusula primeira </w:t>
      </w:r>
      <w:r w:rsidRPr="00477907">
        <w:rPr>
          <w:rFonts w:ascii="Times New Roman" w:eastAsia="Times New Roman" w:hAnsi="Times New Roman" w:cs="Times New Roman"/>
          <w:sz w:val="24"/>
          <w:szCs w:val="24"/>
          <w:lang w:eastAsia="pt-BR"/>
        </w:rPr>
        <w:t xml:space="preserve">pelo Prot. ICMS 161/13, efeitos a partir de 01.01.14.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ar-SA"/>
        </w:rPr>
        <w:t xml:space="preserve">II - que destinem mercadorias a estabelecimento comercial atacadista localizado no Distrito Federal ou no Estado de Goiás, ao qual foi atribuída a condição de substituto tributário em relação à operação interna.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Redação anterior dada ao inciso II do </w:t>
      </w:r>
      <w:r w:rsidRPr="00477907">
        <w:rPr>
          <w:rFonts w:ascii="Times New Roman" w:eastAsia="Times New Roman" w:hAnsi="Times New Roman" w:cs="Times New Roman"/>
          <w:sz w:val="24"/>
          <w:szCs w:val="24"/>
          <w:lang w:eastAsia="zh-CN"/>
        </w:rPr>
        <w:t xml:space="preserve">§ 2º da cláusula primeira </w:t>
      </w:r>
      <w:r w:rsidRPr="00477907">
        <w:rPr>
          <w:rFonts w:ascii="Times New Roman" w:eastAsia="Times New Roman" w:hAnsi="Times New Roman" w:cs="Times New Roman"/>
          <w:sz w:val="24"/>
          <w:szCs w:val="24"/>
          <w:lang w:eastAsia="pt-BR"/>
        </w:rPr>
        <w:t xml:space="preserve">pelo Prot. ICMS 221/12, efeitos de 30.01.13 até 31.12.2013.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II - que destinem mercadorias a estabelecimento comercial atacadista localizado no Distrito Federal ao qual foi atribuída a condição de substituto tributário interno.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Redação original, efeitos até 29.01.13.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 2º </w:t>
      </w:r>
      <w:r w:rsidRPr="00477907">
        <w:rPr>
          <w:rFonts w:ascii="Times New Roman" w:eastAsia="Times New Roman" w:hAnsi="Times New Roman" w:cs="Times New Roman"/>
          <w:sz w:val="24"/>
          <w:szCs w:val="24"/>
          <w:lang w:eastAsia="pt-BR"/>
        </w:rPr>
        <w:t xml:space="preserve">O disposto neste protocolo não se aplica às operações interestaduais com destino a estabelecimento de contribuintes localizados nos estados do Mato Grosso, Mato Grosso do Sul, Pernambuco, Rio Grande do Norte, Rio Grande do Sul e Rondônia.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Nova redação dada ao </w:t>
      </w:r>
      <w:r w:rsidRPr="00477907">
        <w:rPr>
          <w:rFonts w:ascii="Times New Roman" w:eastAsia="Times New Roman" w:hAnsi="Times New Roman" w:cs="Times New Roman"/>
          <w:sz w:val="24"/>
          <w:szCs w:val="24"/>
          <w:lang w:eastAsia="zh-CN"/>
        </w:rPr>
        <w:t xml:space="preserve">§ 3º da cláusula primeira </w:t>
      </w:r>
      <w:r w:rsidRPr="00477907">
        <w:rPr>
          <w:rFonts w:ascii="Times New Roman" w:eastAsia="Times New Roman" w:hAnsi="Times New Roman" w:cs="Times New Roman"/>
          <w:sz w:val="24"/>
          <w:szCs w:val="24"/>
          <w:lang w:eastAsia="pt-BR"/>
        </w:rPr>
        <w:t xml:space="preserve">pelo Prot. ICMS 161/13, efeitos a partir de 01.01.14.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ar-SA"/>
        </w:rPr>
        <w:t xml:space="preserve">§ 3º O disposto no inciso II do § 2º, </w:t>
      </w:r>
      <w:r w:rsidRPr="00477907">
        <w:rPr>
          <w:rFonts w:ascii="Times New Roman" w:eastAsia="Times New Roman" w:hAnsi="Times New Roman" w:cs="Times New Roman"/>
          <w:sz w:val="24"/>
          <w:szCs w:val="24"/>
          <w:lang w:eastAsia="pt-BR"/>
        </w:rPr>
        <w:t xml:space="preserve">somente se aplica após a disponibilização nos sítios eletrônicos das Secretarias de Fazendas do Distrito Federal e do Estado de Goiás, respectivamente, do rol de contribuintes aos quais tenha sido atribuída a condição de substituto tributário a que se refere o dispositivo mencionado.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Redação anterior dada ao </w:t>
      </w:r>
      <w:r w:rsidRPr="00477907">
        <w:rPr>
          <w:rFonts w:ascii="Times New Roman" w:eastAsia="Times New Roman" w:hAnsi="Times New Roman" w:cs="Times New Roman"/>
          <w:sz w:val="24"/>
          <w:szCs w:val="24"/>
          <w:lang w:eastAsia="zh-CN"/>
        </w:rPr>
        <w:t xml:space="preserve">§3º d </w:t>
      </w:r>
      <w:r w:rsidRPr="00477907">
        <w:rPr>
          <w:rFonts w:ascii="Times New Roman" w:eastAsia="Times New Roman" w:hAnsi="Times New Roman" w:cs="Times New Roman"/>
          <w:sz w:val="24"/>
          <w:szCs w:val="24"/>
          <w:lang w:eastAsia="pt-BR"/>
        </w:rPr>
        <w:t xml:space="preserve">a cláusula primeira pelo Prot. ICMS 221/12, efeitos de 30.01.13 até 31.12.2013.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3º O recebimento de mercadoria sem retenção do imposto por substituição tributária, na forma prevista no inciso II do § 2º, somente ocorrerá mediante prévia informação da Secretaria de Estado de Fazenda do Distrito Federal da relação de contribuintes atribuídos como substitutos tributários nas operações internas.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bCs/>
          <w:sz w:val="24"/>
          <w:szCs w:val="24"/>
          <w:lang w:eastAsia="pt-BR"/>
        </w:rPr>
        <w:lastRenderedPageBreak/>
        <w:t xml:space="preserve">Cláusula segunda </w:t>
      </w:r>
      <w:r w:rsidRPr="00477907">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único ou máximo de venda a varejo fixado pelo órgão público competente.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1º Inexistindo o valor de que trata o </w:t>
      </w:r>
      <w:r w:rsidRPr="00477907">
        <w:rPr>
          <w:rFonts w:ascii="Times New Roman" w:eastAsia="Times New Roman" w:hAnsi="Times New Roman" w:cs="Times New Roman"/>
          <w:i/>
          <w:sz w:val="24"/>
          <w:szCs w:val="24"/>
          <w:lang w:eastAsia="pt-BR"/>
        </w:rPr>
        <w:t xml:space="preserve">caput </w:t>
      </w:r>
      <w:r w:rsidRPr="00477907">
        <w:rPr>
          <w:rFonts w:ascii="Times New Roman" w:eastAsia="Times New Roman" w:hAnsi="Times New Roman" w:cs="Times New Roman"/>
          <w:sz w:val="24"/>
          <w:szCs w:val="24"/>
          <w:lang w:eastAsia="pt-BR"/>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II </w:t>
      </w:r>
      <w:proofErr w:type="gramStart"/>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ALQ inter” é o coeficiente correspondente à alíquota interestadual aplicável à operação;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III - “ALQ intra” é o coeficiente correspondente à alíquota interna ou percentual de carga tributária efetiva, quando este for inferior à alíquota interna, praticada pelo contribuinte substituído da unidade federada de destino, nas operações com as mesmas mercadorias listadas no Anexo Único.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2º Na hipótese de a "ALQ intra" ser inferior à "ALQ inter", deverá ser aplicada a "MVA - ST original", sem o ajuste previsto no § 1º.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 3º </w:t>
      </w:r>
      <w:r w:rsidRPr="00477907">
        <w:rPr>
          <w:rFonts w:ascii="Times New Roman" w:eastAsia="Times New Roman" w:hAnsi="Times New Roman" w:cs="Times New Roman"/>
          <w:sz w:val="24"/>
          <w:szCs w:val="24"/>
          <w:lang w:eastAsia="pt-BR"/>
        </w:rPr>
        <w:t xml:space="preserve">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neste protocolo.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sz w:val="24"/>
          <w:szCs w:val="24"/>
          <w:lang w:eastAsia="pt-BR"/>
        </w:rPr>
        <w:t xml:space="preserve">Cláusula terceira </w:t>
      </w:r>
      <w:r w:rsidRPr="00477907">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sz w:val="24"/>
          <w:szCs w:val="24"/>
          <w:lang w:eastAsia="pt-BR"/>
        </w:rPr>
        <w:t xml:space="preserve">Cláusula quarta </w:t>
      </w:r>
      <w:r w:rsidRPr="00477907">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dia 9 (nove) do mês subsequente ao da remessa da mercadoria, mediante Guia Nacional de Recolhimento de Tributos Estaduais - GNRE - ou outro documento de arrecadação autorizado na legislação da unidade federada destinatária.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sz w:val="24"/>
          <w:szCs w:val="24"/>
          <w:lang w:eastAsia="pt-BR"/>
        </w:rPr>
        <w:t xml:space="preserve">Cláusula quinta </w:t>
      </w:r>
      <w:r w:rsidRPr="00477907">
        <w:rPr>
          <w:rFonts w:ascii="Times New Roman" w:eastAsia="Times New Roman" w:hAnsi="Times New Roman" w:cs="Times New Roman"/>
          <w:sz w:val="24"/>
          <w:szCs w:val="24"/>
          <w:lang w:eastAsia="pt-BR"/>
        </w:rPr>
        <w:t xml:space="preserve">Fica condicionada a aplicação deste protocolo à mercadoria para a qual exista previsão da substituição tributária na legislação interna do estado signatário de destino.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Parágrafo </w:t>
      </w:r>
      <w:proofErr w:type="gramStart"/>
      <w:r w:rsidRPr="00477907">
        <w:rPr>
          <w:rFonts w:ascii="Times New Roman" w:eastAsia="Times New Roman" w:hAnsi="Times New Roman" w:cs="Times New Roman"/>
          <w:bCs/>
          <w:sz w:val="24"/>
          <w:szCs w:val="24"/>
          <w:lang w:eastAsia="pt-BR"/>
        </w:rPr>
        <w:t xml:space="preserve">único </w:t>
      </w:r>
      <w:r w:rsidRPr="00477907">
        <w:rPr>
          <w:rFonts w:ascii="Times New Roman" w:eastAsia="Times New Roman" w:hAnsi="Times New Roman" w:cs="Times New Roman"/>
          <w:sz w:val="24"/>
          <w:szCs w:val="24"/>
          <w:lang w:eastAsia="pt-BR"/>
        </w:rPr>
        <w:t>.</w:t>
      </w:r>
      <w:proofErr w:type="gramEnd"/>
      <w:r w:rsidRPr="00477907">
        <w:rPr>
          <w:rFonts w:ascii="Times New Roman" w:eastAsia="Times New Roman" w:hAnsi="Times New Roman" w:cs="Times New Roman"/>
          <w:sz w:val="24"/>
          <w:szCs w:val="24"/>
          <w:lang w:eastAsia="pt-BR"/>
        </w:rPr>
        <w:t xml:space="preserve"> Os estados signatários deverão observar, em relação às operações internas com as mercadorias mencionadas no Anexo Único, as mesmas regras de </w:t>
      </w:r>
      <w:r w:rsidRPr="00477907">
        <w:rPr>
          <w:rFonts w:ascii="Times New Roman" w:eastAsia="Times New Roman" w:hAnsi="Times New Roman" w:cs="Times New Roman"/>
          <w:sz w:val="24"/>
          <w:szCs w:val="24"/>
          <w:lang w:eastAsia="pt-BR"/>
        </w:rPr>
        <w:lastRenderedPageBreak/>
        <w:t xml:space="preserve">definição de base de cálculo e as mesmas margens de valor agregado previstas neste protocolo.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sz w:val="24"/>
          <w:szCs w:val="24"/>
          <w:lang w:eastAsia="pt-BR"/>
        </w:rPr>
        <w:t xml:space="preserve">Cláusula sexta </w:t>
      </w:r>
      <w:r w:rsidRPr="00477907">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mínima de 30 (trinta) dias.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
          <w:sz w:val="24"/>
          <w:szCs w:val="24"/>
          <w:lang w:eastAsia="pt-BR"/>
        </w:rPr>
        <w:t xml:space="preserve">Cláusula sétima </w:t>
      </w:r>
      <w:r w:rsidRPr="00477907">
        <w:rPr>
          <w:rFonts w:ascii="Times New Roman" w:eastAsia="Times New Roman" w:hAnsi="Times New Roman" w:cs="Times New Roman"/>
          <w:sz w:val="24"/>
          <w:szCs w:val="24"/>
          <w:lang w:eastAsia="pt-BR"/>
        </w:rPr>
        <w:t xml:space="preserve">Este protocolo entra em vigor na data de sua publicação no Diário Oficial da União, produzindo seus efeitos em relação às operações destinadas: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 - ao estado do </w:t>
      </w:r>
      <w:proofErr w:type="gramStart"/>
      <w:r w:rsidRPr="00477907">
        <w:rPr>
          <w:rFonts w:ascii="Times New Roman" w:eastAsia="Times New Roman" w:hAnsi="Times New Roman" w:cs="Times New Roman"/>
          <w:sz w:val="24"/>
          <w:szCs w:val="24"/>
          <w:lang w:eastAsia="pt-BR"/>
        </w:rPr>
        <w:t>Amapá ,a</w:t>
      </w:r>
      <w:proofErr w:type="gramEnd"/>
      <w:r w:rsidRPr="00477907">
        <w:rPr>
          <w:rFonts w:ascii="Times New Roman" w:eastAsia="Times New Roman" w:hAnsi="Times New Roman" w:cs="Times New Roman"/>
          <w:sz w:val="24"/>
          <w:szCs w:val="24"/>
          <w:lang w:eastAsia="pt-BR"/>
        </w:rPr>
        <w:t xml:space="preserve"> partir de 1º de novembro de 2011;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II – ao estado de Goiás, a partir de 1º de janeiro de 2012;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III - aos demais estados signatários, a partir da data prevista em ato do respectivo Poder Executivo.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ANEXO ÚNICO </w:t>
      </w:r>
    </w:p>
    <w:tbl>
      <w:tblPr>
        <w:tblW w:w="963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0"/>
        <w:gridCol w:w="1417"/>
        <w:gridCol w:w="5205"/>
        <w:gridCol w:w="1457"/>
      </w:tblGrid>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Item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NCM/SH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Descrição das mercadorias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MVA (%) ORIGINAL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3816.00.1 </w:t>
            </w:r>
            <w:r w:rsidRPr="00477907">
              <w:rPr>
                <w:rFonts w:ascii="Times New Roman" w:eastAsia="Times New Roman" w:hAnsi="Times New Roman" w:cs="Times New Roman"/>
                <w:bCs/>
                <w:sz w:val="24"/>
                <w:szCs w:val="24"/>
                <w:lang w:eastAsia="pt-BR"/>
              </w:rPr>
              <w:br/>
              <w:t xml:space="preserve">3824.50.00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Argamassas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39.16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Revestimentos de PVC e outros plásticos; forro, sancas e afins de PVC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39.17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Tubos, e seus acessórios (por exemplo, juntas, cotovelos, flanges, uniões), de plásticos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39.18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Revestimento de pavimento de PVC e outros plásticos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38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39.19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Chapas, folhas, tiras, fitas, películas e outras formas planas, auto-adesivas, de plásticos, mesmo em rolos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39.19 </w:t>
            </w:r>
            <w:r w:rsidRPr="00477907">
              <w:rPr>
                <w:rFonts w:ascii="Times New Roman" w:eastAsia="Times New Roman" w:hAnsi="Times New Roman" w:cs="Times New Roman"/>
                <w:sz w:val="24"/>
                <w:szCs w:val="24"/>
                <w:lang w:eastAsia="pt-BR"/>
              </w:rPr>
              <w:br/>
              <w:t xml:space="preserve">39.20 </w:t>
            </w:r>
            <w:r w:rsidRPr="00477907">
              <w:rPr>
                <w:rFonts w:ascii="Times New Roman" w:eastAsia="Times New Roman" w:hAnsi="Times New Roman" w:cs="Times New Roman"/>
                <w:sz w:val="24"/>
                <w:szCs w:val="24"/>
                <w:lang w:eastAsia="pt-BR"/>
              </w:rPr>
              <w:br/>
              <w:t xml:space="preserve">39.21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Veda rosca, lona plástica, fitas isolantes e afins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28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39.21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Chapas, laminados plásticos em bobina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39.22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Banheiras, boxes para chuveiros, pias, lavatórios, bidês, sanitários e seus assentos e tampas, caixas de descarga e artigos semelhantes para usos sanitários ou higiênicos, de plásticos.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41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39.24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Artefatos de </w:t>
            </w:r>
            <w:proofErr w:type="gramStart"/>
            <w:r w:rsidRPr="00477907">
              <w:rPr>
                <w:rFonts w:ascii="Times New Roman" w:eastAsia="Times New Roman" w:hAnsi="Times New Roman" w:cs="Times New Roman"/>
                <w:sz w:val="24"/>
                <w:szCs w:val="24"/>
                <w:lang w:eastAsia="pt-BR"/>
              </w:rPr>
              <w:t>higiene  /</w:t>
            </w:r>
            <w:proofErr w:type="gramEnd"/>
            <w:r w:rsidRPr="00477907">
              <w:rPr>
                <w:rFonts w:ascii="Times New Roman" w:eastAsia="Times New Roman" w:hAnsi="Times New Roman" w:cs="Times New Roman"/>
                <w:sz w:val="24"/>
                <w:szCs w:val="24"/>
                <w:lang w:eastAsia="pt-BR"/>
              </w:rPr>
              <w:t xml:space="preserve"> toucador de plástico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3925.20.00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Portas, janelas e afins, de plástico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3925.30.00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Postigos, estores (incluídas as venezianas) e artefatos semelhantes e suas partes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48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3926.90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Outras obras de plástico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36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4005.91.90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Fitas emborrachadas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27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40.09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Tubos de borracha vulcanizada não endurecida, mesmo providos dos respectivos acessórios (por exemplo, juntas, cotovelos, flanges, uniões)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4016.91.00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Revestimentos para pavimentos (pisos) e capachos de borracha vulcanizada não endurecida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69,43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4016.93.00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Juntas, gaxetas e semelhantes, de borracha vulcanizada não endurecida, para uso não automotivo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44.08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69,43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44.09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Pisos de madeira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36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4410.11.21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38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44.11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Pisos laminados com base de MDF (Médium Density Fiberboard) e/ou madeira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44.18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Obras de marcenaria ou de carpintaria, incluídos os painéis celulares, os painéis montados para revestimento de pavimentos (pisos) e as fasquias para telhados “shingles e shakes”, de madeira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38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48.14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Papel de parede e revestimentos de parede semelhantes; papel para vitrais.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51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57.03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Tapetes e outros revestimentos para pavimentos (pisos), de matérias têxteis, tufados, mesmo confeccionados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57.04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Tapetes e outros revestimentos para pavimentos (pisos), de feltro, exceto os tufados e os flocados, mesmo confeccionados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59.04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Linóleos, mesmo recortados, revestimentos para pavimentos (pisos) constituídos por um induto ou recobrimento aplicado sobre suporte têxtil, mesmo recortados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63.03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Persianas de materiais têxteis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68.02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Ladrilhos de mármores, travertinos, lajotas, quadrotes, alabastro, ônix e outras rochas carbonáticas, e ladrilhos de granito, cianito, charnokito, diorito, basalto e outras rochas silicáticas, com área de até 2m </w:t>
            </w:r>
            <w:r w:rsidRPr="00477907">
              <w:rPr>
                <w:rFonts w:ascii="Times New Roman" w:eastAsia="Times New Roman" w:hAnsi="Times New Roman" w:cs="Times New Roman"/>
                <w:sz w:val="24"/>
                <w:szCs w:val="24"/>
                <w:vertAlign w:val="superscript"/>
                <w:lang w:eastAsia="pt-BR"/>
              </w:rPr>
              <w:t xml:space="preserve">2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68.05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Abrasivos naturais ou artificiais, em pó ou em grãos, aplicados sobre matérias têxteis, papel, </w:t>
            </w:r>
            <w:r w:rsidRPr="00477907">
              <w:rPr>
                <w:rFonts w:ascii="Times New Roman" w:eastAsia="Times New Roman" w:hAnsi="Times New Roman" w:cs="Times New Roman"/>
                <w:sz w:val="24"/>
                <w:szCs w:val="24"/>
                <w:lang w:eastAsia="pt-BR"/>
              </w:rPr>
              <w:lastRenderedPageBreak/>
              <w:t xml:space="preserve">cartão ou outras matérias, mesmo recortados, costurados ou reunidos de outro modo.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41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6808.00.00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Painéis, chapas, ladrilhos, blocos e semelhantes, de fibras vegetais, de palha ou de aparas, partículas, serragem (serradura) ou de outros desperdícios de madeira, aglomerados com cimento, gesso ou outros aglutinantes minerais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69,43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68.09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Obras de gesso ou de composições à base de gesso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68.10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Obras de cimento, de concreto ou de pedra artificial, mesmo armadas, exceto poste acima de 3 m de altura e tubos, laje, pré laje e mourões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69.07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69.08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Ladrilhos e placas de cerâmica, exclusivamente para pavimentação ou revestimento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69.10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Pias, lavatórios, colunas para lavatórios, banheiras, bidês, sanitários, caixas de descarga, mictórios e aparelhos fixos semelhantes para usos sanitários, de cerâmica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6912.00.00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Artefatos de higiene/toucador de cerâmica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70.03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Vidro vazado ou laminado, em chapas, folhas ou perfis, mesmo com camada absorvente, refletora ou não, mas sem qualquer outro trabalho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70.04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Vidro estirado ou soprado, em folhas, mesmo com camada absorvente, refletora ou não, mas sem qualquer outro trabalho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69,43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70.05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Vidro flotado e vidro desbastado ou polido em uma ou em ambas as faces, em chapas ou em folhas, mesmo com camada absorvente, refletora ou não, mas sem qualquer outro trabalho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7007.19.00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Vidros temperados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36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7007.29.00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Vidros laminados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7008.00.00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Vidros isolantes de paredes múltiplas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70.09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Espelhos de vidro, mesmo emoldurados, excluídos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70.16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Blocos, placas, tijolos, ladrilhos, telhas e outros artefatos, de vidro prensado ou moldado, mesmo armado; cubos, pastilhas e outros artigos semelhantes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61,20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70.19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90.19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Banheira de hidromassagem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72.13 7214.20.00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7308.90.10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Vergalhões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7214.20.00,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7308.90.10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Barras próprias para construções, exceto os vergalhões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7217.10.90 </w:t>
            </w:r>
            <w:r w:rsidRPr="00477907">
              <w:rPr>
                <w:rFonts w:ascii="Times New Roman" w:eastAsia="Times New Roman" w:hAnsi="Times New Roman" w:cs="Times New Roman"/>
                <w:sz w:val="24"/>
                <w:szCs w:val="24"/>
                <w:lang w:eastAsia="pt-BR"/>
              </w:rPr>
              <w:br/>
              <w:t xml:space="preserve">73.12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Fios de ferro ou aço não ligados, não revestidos, mesmo polidos, cordas, cabos, tranças (entrançados), lingas </w:t>
            </w:r>
            <w:r w:rsidRPr="00477907">
              <w:rPr>
                <w:rFonts w:ascii="Times New Roman" w:eastAsia="Times New Roman" w:hAnsi="Times New Roman" w:cs="Times New Roman"/>
                <w:color w:val="1F497D"/>
                <w:sz w:val="24"/>
                <w:szCs w:val="24"/>
                <w:lang w:eastAsia="pt-BR"/>
              </w:rPr>
              <w:t xml:space="preserve">e </w:t>
            </w:r>
            <w:r w:rsidRPr="00477907">
              <w:rPr>
                <w:rFonts w:ascii="Times New Roman" w:eastAsia="Times New Roman" w:hAnsi="Times New Roman" w:cs="Times New Roman"/>
                <w:sz w:val="24"/>
                <w:szCs w:val="24"/>
                <w:lang w:eastAsia="pt-BR"/>
              </w:rPr>
              <w:t xml:space="preserve">artefatos semelhantes, de ferro ou aço, não isolados para usos elétricos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7217.20.90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Outros fios de ferro ou aço, não ligados, galvanizados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73.07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Acessórios para tubos (inclusive uniões, cotovelos, luvas ou mangas),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33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7308.30.00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Portas e janelas, e seus caixilhos, alizares e soleiras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34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7308.40.00 7308.90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Material para andaimes, para armações (cofragens) e para escoramentos, (inclusive armações prontas, para estruturas de concreto armado ou argamassa armada), eletrocalhas e perfilados de ferro fundido, ferro ou aço, próprios para construção civil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Caixas diversas (tais como caixa de correio, de entrada de água, de energia, de instalação) de ferro ou aço próprias para construção civil;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59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7313.00.00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Arame farpado, de ferro ou aço arames ou tiras, retorcidos, mesmo farpados, de ferro ou aço, dos tipos utilizados em cercas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73.14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Telas metálicas, grades e redes, de fios de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7315.11.00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Correntes de rolos,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69,43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7315.12.90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Outras correntes de elos articulados,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69,43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7315.82.00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Correntes de elos soldados, de ferro fundido, de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7317.00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Tachas, pregos, percevejos, escápulas, grampos ondulados ou biselados e artefatos semelhantes, de ferro fundido, ferro ou aço, mesmo com a cabeça de outra matéria, exceto cobre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41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73.18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Parafusos, pinos ou pernos, roscados, porcas, tira-fundos, ganchos roscados, rebites, chavetas, cavilhas, contrapinos, arruelas (incluídas as de pressão) e artefatos semelhantes,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46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73.23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Esponjas, esfregões, luvas e artefatos semelhantes para limpeza, polimento e usos semelhantes, de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69,13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73.24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Artefatos de higiene ou de toucador, e suas partes; pias, banheiras, lavatórios, cubas, mictórios, tanques e afins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73.25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Outras obras moldadas, de ferro fundido, ferro ou aço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73.26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Abraçadeiras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74.07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Barra de cobre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38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7411.10.10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Tubos de cobre e suas ligas, para instalações de água quente e gás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74.12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Acessórios para tubos (por exemplo, uniões, cotovelos, luvas ou mangas) de cobre e suas ligas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31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74.15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Tachas,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7418.20.00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Artefatos de higiene/toucador de cobre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7607.19.90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Manta de subcobertura aluminizada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7609.00.00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Acessórios para tubos (por exemplo, uniões, cotovelos, luvas ou mangas), de alumínio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76.10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Construções e suas partes (inclusive pontes e elementos de pontes, torres, pórticos, pilares, colunas, armações, estruturas para telhados, portas e janelas, e seus caixilhos, alizares e soleiras, balaustradas, e estruturas de box), de alumínio, exceto as construções, pré-fabricadas da posição 94.06; chapas, barras, perfis, tubos e semelhantes, de alumínio, próprios para construção civil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32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7615.20.00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Artefatos de higiene/toucador de alumínio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46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76.16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Outras obras de alumínio, próprias para construção civil, incluídas as persianas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8302.4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76.16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Outras guarnições, ferragens e artigos semelhantes de metais comuns, para construção civil, inclusive puxadores, exceto persianas de alumínio constantes do item 76.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36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83.01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41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8302.10.00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Dobradiças de metais comuns, de qualquer tipo.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46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8302.50.00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Pateras, porta-chapéus, cabides, e artigos semelhantes de metais comuns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50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83.07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bCs/>
                <w:sz w:val="24"/>
                <w:szCs w:val="24"/>
                <w:lang w:eastAsia="pt-BR"/>
              </w:rPr>
              <w:t xml:space="preserve">Tubos flexíveis de metais comuns, mesmo com acessórios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37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83.11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Fios, varetas, tubos, chapas, eletrodos e artefatos semelhantes, de metais comuns ou de carbonetos metálicos, </w:t>
            </w:r>
            <w:proofErr w:type="gramStart"/>
            <w:r w:rsidRPr="00477907">
              <w:rPr>
                <w:rFonts w:ascii="Times New Roman" w:eastAsia="Times New Roman" w:hAnsi="Times New Roman" w:cs="Times New Roman"/>
                <w:sz w:val="24"/>
                <w:szCs w:val="24"/>
                <w:lang w:eastAsia="pt-BR"/>
              </w:rPr>
              <w:t>revestidos exterior</w:t>
            </w:r>
            <w:proofErr w:type="gramEnd"/>
            <w:r w:rsidRPr="00477907">
              <w:rPr>
                <w:rFonts w:ascii="Times New Roman" w:eastAsia="Times New Roman" w:hAnsi="Times New Roman" w:cs="Times New Roman"/>
                <w:sz w:val="24"/>
                <w:szCs w:val="24"/>
                <w:lang w:eastAsia="pt-BR"/>
              </w:rPr>
              <w:t xml:space="preserve"> ou interiormente de decapantes ou de fundentes, para soldagem (soldadura) ou depósito de metal ou de carbonetos metálicos fios e varetas de pós de metais comuns aglomerados, para metalização por projeção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41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8419.1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Aquecedores de água não elétricos, de aquecimento instantâneo ou de acumulação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33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84.81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Torneiras, válvulas (incluídas as redutoras de pressão e as termostáticas) e dispositivos </w:t>
            </w:r>
            <w:r w:rsidRPr="00477907">
              <w:rPr>
                <w:rFonts w:ascii="Times New Roman" w:eastAsia="Times New Roman" w:hAnsi="Times New Roman" w:cs="Times New Roman"/>
                <w:sz w:val="24"/>
                <w:szCs w:val="24"/>
                <w:lang w:eastAsia="pt-BR"/>
              </w:rPr>
              <w:lastRenderedPageBreak/>
              <w:t xml:space="preserve">semelhantes, para canalizações, caldeiras, reservatórios, cubas e outros recipientes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34 </w:t>
            </w:r>
          </w:p>
        </w:tc>
      </w:tr>
      <w:tr w:rsidR="00477907" w:rsidRPr="00477907" w:rsidTr="00477907">
        <w:trPr>
          <w:jc w:val="center"/>
        </w:trPr>
        <w:tc>
          <w:tcPr>
            <w:tcW w:w="1560"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lastRenderedPageBreak/>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8515.90.00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8515.1 </w:t>
            </w:r>
          </w:p>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8515.2 </w:t>
            </w:r>
          </w:p>
        </w:tc>
        <w:tc>
          <w:tcPr>
            <w:tcW w:w="5205"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Partes de máquinas e aparelhos para soldadura forte ou fraca e de máquinas e aparelhos para soldar metais por resistência </w:t>
            </w:r>
          </w:p>
        </w:tc>
        <w:tc>
          <w:tcPr>
            <w:tcW w:w="1457" w:type="dxa"/>
            <w:tcBorders>
              <w:top w:val="single" w:sz="4" w:space="0" w:color="auto"/>
              <w:left w:val="single" w:sz="4" w:space="0" w:color="auto"/>
              <w:bottom w:val="single" w:sz="4" w:space="0" w:color="auto"/>
              <w:right w:val="single" w:sz="4" w:space="0" w:color="auto"/>
            </w:tcBorders>
            <w:hideMark/>
          </w:tcPr>
          <w:p w:rsidR="00477907" w:rsidRPr="00477907" w:rsidRDefault="00477907" w:rsidP="00477907">
            <w:pPr>
              <w:spacing w:before="100" w:beforeAutospacing="1" w:after="100" w:afterAutospacing="1" w:line="240" w:lineRule="auto"/>
              <w:rPr>
                <w:rFonts w:ascii="Times New Roman" w:eastAsia="Times New Roman" w:hAnsi="Times New Roman" w:cs="Times New Roman"/>
                <w:sz w:val="24"/>
                <w:szCs w:val="24"/>
                <w:lang w:eastAsia="pt-BR"/>
              </w:rPr>
            </w:pPr>
            <w:r w:rsidRPr="00477907">
              <w:rPr>
                <w:rFonts w:ascii="Times New Roman" w:eastAsia="Times New Roman" w:hAnsi="Times New Roman" w:cs="Times New Roman"/>
                <w:sz w:val="24"/>
                <w:szCs w:val="24"/>
                <w:lang w:eastAsia="pt-BR"/>
              </w:rPr>
              <w:t xml:space="preserve">39 </w:t>
            </w:r>
          </w:p>
        </w:tc>
      </w:tr>
    </w:tbl>
    <w:p w:rsidR="00477907" w:rsidRPr="00477907" w:rsidRDefault="00477907" w:rsidP="00477907">
      <w:pPr>
        <w:tabs>
          <w:tab w:val="left" w:pos="1418"/>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477907">
        <w:rPr>
          <w:rFonts w:ascii="Arial" w:eastAsia="Times New Roman" w:hAnsi="Arial" w:cs="Arial"/>
          <w:sz w:val="20"/>
          <w:szCs w:val="20"/>
          <w:lang w:eastAsia="pt-BR"/>
        </w:rPr>
        <w:t xml:space="preserve">  </w:t>
      </w:r>
    </w:p>
    <w:p w:rsidR="00F23C0E" w:rsidRDefault="00F23C0E">
      <w:bookmarkStart w:id="0" w:name="_GoBack"/>
      <w:bookmarkEnd w:id="0"/>
    </w:p>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07"/>
    <w:rsid w:val="00477907"/>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4F765-2A71-4A10-A07B-D0BBA96C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1-1tituloacordo">
    <w:name w:val="a1-1tituloacord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477907"/>
    <w:rPr>
      <w:color w:val="0000FF"/>
      <w:u w:val="single"/>
    </w:rPr>
  </w:style>
  <w:style w:type="paragraph" w:customStyle="1" w:styleId="a3ementa">
    <w:name w:val="a3ementa"/>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1tabelasubtitulo">
    <w:name w:val="a7-1tabelasubtitul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47790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40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2/pt170_12" TargetMode="External"/><Relationship Id="rId13" Type="http://schemas.openxmlformats.org/officeDocument/2006/relationships/hyperlink" Target="http://www1.fazenda.gov.br/confaz/confaz/atos/despacho/2012/dp255_12" TargetMode="External"/><Relationship Id="rId3" Type="http://schemas.openxmlformats.org/officeDocument/2006/relationships/webSettings" Target="webSettings.xml"/><Relationship Id="rId7" Type="http://schemas.openxmlformats.org/officeDocument/2006/relationships/hyperlink" Target="http://www1.fazenda.gov.br/confaz/confaz/protocolos/icms/2012/pt071_12" TargetMode="External"/><Relationship Id="rId12" Type="http://schemas.openxmlformats.org/officeDocument/2006/relationships/hyperlink" Target="http://www1.fazenda.gov.br/confaz/confaz/protocolos/icms/2012/pt221_1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fazenda.gov.br/confaz/confaz/atos/despacho/2011/dp235_11" TargetMode="External"/><Relationship Id="rId11" Type="http://schemas.openxmlformats.org/officeDocument/2006/relationships/hyperlink" Target="http://www1.fazenda.gov.br/confaz/confaz/protocolos/icms/2013/pt161_13" TargetMode="External"/><Relationship Id="rId5" Type="http://schemas.openxmlformats.org/officeDocument/2006/relationships/hyperlink" Target="http://www1.fazenda.gov.br/confaz/confaz/atos/despacho/2011/dp230_11" TargetMode="External"/><Relationship Id="rId15" Type="http://schemas.openxmlformats.org/officeDocument/2006/relationships/fontTable" Target="fontTable.xml"/><Relationship Id="rId10" Type="http://schemas.openxmlformats.org/officeDocument/2006/relationships/hyperlink" Target="http://www1.fazenda.gov.br/confaz/confaz/protocolos/icms/2012/pt221_12" TargetMode="External"/><Relationship Id="rId4" Type="http://schemas.openxmlformats.org/officeDocument/2006/relationships/hyperlink" Target="http://www1.fazenda.gov.br/confaz/confaz/atos/despacho/2011/dp186_11" TargetMode="External"/><Relationship Id="rId9" Type="http://schemas.openxmlformats.org/officeDocument/2006/relationships/hyperlink" Target="http://www1.fazenda.gov.br/confaz/confaz/protocolos/icms/2012/pt170_12" TargetMode="External"/><Relationship Id="rId14" Type="http://schemas.openxmlformats.org/officeDocument/2006/relationships/hyperlink" Target="http://www1.fazenda.gov.br/confaz/confaz/protocolos/icms/2013/pt161_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3101</Words>
  <Characters>16751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19813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1</cp:revision>
  <dcterms:created xsi:type="dcterms:W3CDTF">2015-04-27T19:07:00Z</dcterms:created>
  <dcterms:modified xsi:type="dcterms:W3CDTF">2015-04-27T19:08:00Z</dcterms:modified>
</cp:coreProperties>
</file>