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PROTOCOLO ICM 18/85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Publicado no DOU de 29.07.85.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Alterado pelos Prot. ICM </w:t>
      </w:r>
      <w:hyperlink r:id="rId4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09/86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5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10/87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ICMS </w:t>
      </w:r>
      <w:bookmarkStart w:id="0" w:name="_Hlt55197751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"https://www.confaz.fazenda.gov.br/legislacao/protocolos/icms/1991/pt052_91" </w:instrTex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Pr="00A872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t xml:space="preserve">52/91 </w:t>
      </w:r>
      <w:bookmarkEnd w:id="0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6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12/98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7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27/01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8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43/08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9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6/09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10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78/09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11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53/12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12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61/13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MS e SC pelo Prot. ICM </w:t>
      </w:r>
      <w:hyperlink r:id="rId13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26/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85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01.11.85, salvo em relação às operações interestaduais que destinem mercadoria a SC, caso em que vigorará a partir de 01.01.86.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14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27/85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MG para RJ, aplicando-se, no que couber, as normas deste protocolo.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15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28/85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PR para RJ, aplicando-se, no que couber, as normas deste protocolo.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16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39/85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PR para SC, aplicando-se, no que couber, as normas deste protocolo.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RN pelo Prot. ICM </w:t>
      </w:r>
      <w:hyperlink r:id="rId17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38/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85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01.11.85.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PB pelo Prot. ICM </w:t>
      </w:r>
      <w:hyperlink r:id="rId18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04/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86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01.06.86.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Excluído RN pelo Prot. ICM </w:t>
      </w:r>
      <w:hyperlink r:id="rId19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87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26.08.87.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20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08/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88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identifica os produtos abrangidos pelo regime com o respectivo código da NBM.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PA pelo Prot. ICMS </w:t>
      </w:r>
      <w:hyperlink r:id="rId21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56/9 </w:t>
        </w:r>
        <w:bookmarkStart w:id="1" w:name="_Hlt55201196"/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1 </w:t>
        </w:r>
      </w:hyperlink>
      <w:bookmarkEnd w:id="1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01.01.92.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PE pelo Prot. ICMS </w:t>
      </w:r>
      <w:hyperlink r:id="rId22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12/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93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07.05.93.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Excluído SC pelo Prot. ICMS </w:t>
      </w:r>
      <w:hyperlink r:id="rId23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21/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96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01.10.96.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da BA e SE pelo Prot. ICMS </w:t>
      </w:r>
      <w:hyperlink r:id="rId24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17/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97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01.08.97.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MG pelo Prot. ICMS </w:t>
      </w:r>
      <w:hyperlink r:id="rId25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01.07.98.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ES pelo Prot. ICMS </w:t>
      </w:r>
      <w:hyperlink r:id="rId26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01.09.98.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PR pelo Prot. ICMS </w:t>
      </w:r>
      <w:hyperlink r:id="rId27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37/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01.02.99.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RS, RO e AP pelo Prot. ICMS </w:t>
      </w:r>
      <w:hyperlink r:id="rId28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03/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99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01.06.99.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MA e TO pelo Prot. ICMS </w:t>
      </w:r>
      <w:hyperlink r:id="rId29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25/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99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PI pelo Prot. ICMS </w:t>
      </w:r>
      <w:hyperlink r:id="rId30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06/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01.07.00.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lastRenderedPageBreak/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AC pelo Prot. ICMS </w:t>
      </w:r>
      <w:hyperlink r:id="rId31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18/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MT pelo Prot. ICMS </w:t>
      </w:r>
      <w:hyperlink r:id="rId32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21/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AL pelo Prot. ICMS </w:t>
      </w:r>
      <w:hyperlink r:id="rId33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26/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RR pelo Prot. ICMS </w:t>
      </w:r>
      <w:hyperlink r:id="rId34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34/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01.09.00.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RN pelo Prot. ICMS </w:t>
      </w:r>
      <w:hyperlink r:id="rId35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49/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00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01.02.01.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CE e GO pelo Prot. ICMS </w:t>
      </w:r>
      <w:hyperlink r:id="rId36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27/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01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01.10.01.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DF pelo Prot. ICMS </w:t>
      </w:r>
      <w:hyperlink r:id="rId37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49/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02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01.01.03. </w:t>
      </w:r>
    </w:p>
    <w:p w:rsid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Exclusão do PR pelo Prot. ICMS </w:t>
      </w:r>
      <w:hyperlink r:id="rId38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37 </w:t>
        </w:r>
        <w:bookmarkStart w:id="2" w:name="_Hlt150746340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/ 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06 </w:t>
        </w:r>
      </w:hyperlink>
      <w:bookmarkEnd w:id="2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16.10.06.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Excluído BA pelo Prot. ICMS 109/14, efeitos a partir de 01.01.2015.</w:t>
      </w:r>
      <w:bookmarkStart w:id="3" w:name="_GoBack"/>
      <w:bookmarkEnd w:id="3"/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Restabelecida a aplicação deste Protocolo pelo Decreto nº 52.428/07, do Estado de SP, em relação às operações interestaduais realizadas por contribuintes de SP e destinadas a contribuintes do RJ, conforme Despacho nº </w:t>
      </w:r>
      <w:hyperlink r:id="rId39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46/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SC pelo Prot. ICMS </w:t>
      </w:r>
      <w:hyperlink r:id="rId40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34/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01.06.08.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PR pelo Prot. ICMS </w:t>
      </w:r>
      <w:hyperlink r:id="rId41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131/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08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A87270">
        <w:rPr>
          <w:rFonts w:ascii="Symbol" w:eastAsia="Times New Roman" w:hAnsi="Symbol" w:cs="Times New Roman"/>
          <w:sz w:val="24"/>
          <w:szCs w:val="24"/>
          <w:lang w:eastAsia="pt-BR"/>
        </w:rPr>
        <w:t></w:t>
      </w:r>
      <w:r w:rsidRPr="00A87270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    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Vide Despacho </w:t>
      </w:r>
      <w:hyperlink r:id="rId42" w:history="1"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129/</w:t>
        </w:r>
        <w:proofErr w:type="gramStart"/>
        <w:r w:rsidRPr="00A872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12 </w:t>
        </w:r>
      </w:hyperlink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relativamente aos critérios de apuração da base de cálculo do ICMS/ST, divulgados no site de SP.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Dispõe sobre a substituição tributária nas operações com pilha e bateria elétricas.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Os Estados de Amazonas, Rio de Janeiro e São </w:t>
      </w:r>
      <w:proofErr w:type="gramStart"/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Paulo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neste ato representados pelos seus Secretários de Fazenda ou Finanças, tendo em vista o disposto no § 4º do artigo 6º do Decreto-lei nº 406, de 31 de dezembro de 1968, acrescentado pela Lei Complementar nº 44, de 07 de dezembro de 1983, resolvem celebrar o seguinte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 R O T O C O L 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ao </w:t>
      </w:r>
      <w:r w:rsidRPr="00A87270">
        <w:rPr>
          <w:rFonts w:ascii="Times New Roman" w:eastAsia="Times New Roman" w:hAnsi="Times New Roman" w:cs="Arial"/>
          <w:i/>
          <w:sz w:val="24"/>
          <w:szCs w:val="24"/>
          <w:lang w:eastAsia="pt-BR"/>
        </w:rPr>
        <w:t xml:space="preserve">caput </w:t>
      </w: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da cláusula primeira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primeira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Nas operações interestaduais com pilhas e baterias de pilha, elétricas, classificadas na posição 8506, acumuladores elétricos, classificados nas posições 8507.30.11 e 8507.80.00, todas da Nomenclatura Comum do Mercosul - NCM/SH, realizadas entre contribuintes situados nos Estados signatários deste protocolo, fica atribuída ao estabelecimento industrial ou importador, na qualidade de sujeito passivo por substituição, a responsabilidade pela retenção e recolhimento do Imposto sobre Operações relativas à Circulação de Mercadorias e sobre Prestações de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Serviços de Transporte Interestadual e Intermunicipal e de Comunicação - ICMS, relativo às saídas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bem como à entrada destinada a uso ou consumo do estabelecimento destinatário.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ao </w:t>
      </w:r>
      <w:r w:rsidRPr="00A8727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caput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cláusula primeira pelo Prot. ICMS 43/08, efeitos de 01.05.08 a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primeira Nas operações interestaduais com pilhas e baterias elétricas classificadas na posição 8506 da Nomenclatura Brasileira de Mercadorias - Sistema Harmonizado - NBM/SH -, realizadas entre contribuintes situados nos Estados signatários deste protocolo, fica atribuída ao estabelecimento industrial ou importador, na qualidade de sujeito passivo por substituição, a responsabilidade pela retenção e recolhimento do Imposto sobre Operações relativas à Circulação de Mercadorias e sobre Prestações de Serviços de Transporte Interestadual e Intermunicipal e de Comunicação - ICMS, relativo às saídas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bem como à entrada destinada a uso ou consumo do estabelecimento destinatário.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ao </w:t>
      </w:r>
      <w:r w:rsidRPr="00A8727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caput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cláusula primeira pelo Prot. ICMS 27/01, efeitos de 01.10.01 a 30.04.08.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primeira Nas operações interestaduais com pilhas e baterias elétricas classificadas na posição 8506 da Nomenclatura Brasileira de Mercadorias - Sistema Harmonizado - NBM/SH -, realizadas entre contribuintes situados nos Estados signatários deste protocolo, fica atribuída ao estabelecimento industrial ou importador, na qualidade de sujeito passivo por substituição, a responsabilidade pela retenção e recolhimento do Imposto sobre Operações relativas à Circulação de Mercadorias e sobre Prestações de Serviços de Transporte Interestadual e Intermunicipal e de Comunicação - ICMS, relativo às saídas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bem como à entrada destinada a uso ou consumo do estabelecimento destinatário, exceto em relação às operações que destinem o produto ao Estado de São Paulo.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ao </w:t>
      </w:r>
      <w:r w:rsidRPr="00A8727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caput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cláusula primeira pelo Prot. ICMS 12/98, efeitos a partir de 26.03.98 até 30.09.01.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primeira Nas operações interestaduais com pilhas e baterias elétricas entre contribuintes situados nos Estados signatários deste Protocolo, fica atribuída ao estabelecimento industrial, na qualidade de sujeito passivo por substituição, a responsabilidade pela retenção e recolhimento do Imposto sobre Operações Relativas à Circulação de Mercadorias e de Prestação de Serviços de Transporte Interestadual e Intermunicipal e de Comunicação - ICMS, relativo às saídas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bem como à entrada destinada a uso ou consumo do estabelecimento destinatário, exceto em relação às operações que destinem o produto ao Estado de São Paulo.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25.03.98.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primeira Nas operações interestaduais com pilha e bateria elétricas, entre contribuintes situados nos Estados signatários deste Protocolo, fica atribuída ao estabelecimento industrial, na qualidade de contribuinte substituto, a responsabilidade pela retenção e recolhimento do Imposto sobre Circulação de Mercadorias relativo às operações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realizadas por estabelecimento atacadista ou varejista.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lastRenderedPageBreak/>
        <w:t xml:space="preserve">Revigorado o § 1º da cláusula primeira pelo Prot. ICMS 78/09,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 regime de que trata este Protocolo não se aplica à transferência de mercadoria entre estabelecimentos da empresa industrial, nem às operações entre contribuintes substitutos industriais.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 regime de que trata este Protocolo não se aplica à transferência de mercadoria entre estabelecimentos da empresa industrial, nem às operações entre contribuintes substitutos industriais.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Revigorado o § 2º da cláusula primeira pelo Prot. ICMS 78/09,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Na hipótese do parágrafo anterior, a substituição tributária caberá ao estabelecimento da empresa industrial ou ao contribuinte substituto destinatário que promover a saída da mercadoria para estabelecimento de pessoa diversa.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Na hipótese do parágrafo anterior, a substituição tributária caberá ao estabelecimento da empresa industrial ou ao contribuinte substituto destinatário que promover a saída da mercadoria para estabelecimento de pessoa diversa.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à cláusula segunda, revogados os §§ 1º e 2º,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segunda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Nas operações interestaduais realizadas por contribuinte com as mercadorias a que se refere este protocolo, a ele fica atribuída a responsabilidade pela retenção e recolhimento do imposto em favor do Estado destinatário, na qualidade de sujeito passivo por substituição, mesmo que o imposto já tenha sido retido anteriormente.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REVOGADO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REVOGADO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segunda No caso de operação interestadual realizada por distribuidor, depósito ou estabelecimento atacadista com mercadoria a que se refere este Protocolo, a substituição tributária caberá ao remetente, mesmo que o imposto já tenha sido retido anteriormente.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Na hipótese desta cláusula, o distribuidor, o depósito ou o estabelecimento atacadista emitirá nota fiscal para efeito de ressarcimento, junto ao estabelecimento que tenha efetuado a primeira retenção, do valor do imposto retido em favor do Estado de destino, acompanhada de cópia do respectivo documento de arrecadação.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§ 2º O estabelecimento que efetuou a primeira retenção poderá deduzir, do próximo recolhimento ao Estado de origem, a importância do imposto retido a que se refere o parágrafo anterior, desde que disponha dos documentos ali mencionados.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à cláusula terceira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terceira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base de cálculo do imposto, para os fins de substituição tributária, será o valor correspondente ao preço máximo de venda a varejo fixado por autoridade competente, ou na falta deste, o preço sugerido ao público pelo fabricante ou importador, acrescido, em ambos os casos, do valor do frete quando não incluído no preço.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Acrescidos os §§ 1º, 2º, 3º e 4º à cláusula terceira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Inexistindo os valores de que trata o “caput”, a base de cálculo corresponderá ao montante formado pelo preço praticado pelo remetente, acrescido dos valores correspondentes a frete, seguro, impostos e outros encargos transferíveis ou cobrados do destinatário, adicionado da parcela resultante da aplicação, sobre o referido montante, do percentual de margem de valor agregado ajustada (“MVA ajustada”), calculada segundo a fórmula “MVA ajustada = [(1+ MVA-ST original) x (1 - 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/ (1- 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)] -1”, onde: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“MVA-ST original” é a margem de valor agregado, para operação interna, prevista no § 2º;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“ALQ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é o coeficiente correspondente à alíquota interestadual aplicável à operação;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Nova redação dada ao inciso III, do § 1º da cláusula terceira, pelo Prot. ICMS 61/13, efeitos a partir de 01.08.13.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“ALQ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é o coeficiente correspondente à alíquota interna ou percentual de carga tributária efetiva, quando este for inferior à alíquota interna, praticada pelo contribuinte substituto da unidade federada de destino, nas operações com as mesmas mercadorias. </w:t>
      </w:r>
    </w:p>
    <w:p w:rsidR="00A87270" w:rsidRPr="00A87270" w:rsidRDefault="00A87270" w:rsidP="00A8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anterior, efeitos de 01.06.09 a 31.07.13.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“ALQ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é o coeficiente correspondente à alíquota prevista para as operações substituídas, na unidade federada de destino.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A MVA-ST original é de 40%.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Revogado o § 3º da cláusula terceira, pelo Prot. ICMS 61/13, efeitos a partir de 01.08.13.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§3º REVOGADO </w:t>
      </w:r>
    </w:p>
    <w:p w:rsidR="00A87270" w:rsidRPr="00A87270" w:rsidRDefault="00A87270" w:rsidP="00A8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Redação original, efeitos até 31.07.13.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Da combinação dos §§ 1º e 2º, o remetente deve adotar as seguintes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MVAs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ajustadas nas operações interestaduais: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com relação ao § 1º: </w:t>
      </w:r>
    </w:p>
    <w:tbl>
      <w:tblPr>
        <w:tblW w:w="7092" w:type="dxa"/>
        <w:tblInd w:w="2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280"/>
      </w:tblGrid>
      <w:tr w:rsidR="00A87270" w:rsidRPr="00A87270" w:rsidTr="00A87270">
        <w:trPr>
          <w:trHeight w:val="550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 </w:t>
            </w:r>
          </w:p>
        </w:tc>
        <w:tc>
          <w:tcPr>
            <w:tcW w:w="425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Alíquota interna na unidade federada de destino </w:t>
            </w:r>
          </w:p>
        </w:tc>
      </w:tr>
      <w:tr w:rsidR="00A87270" w:rsidRPr="00A87270" w:rsidTr="00A8727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7270" w:rsidRPr="00A87270" w:rsidRDefault="00A87270" w:rsidP="00A87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17%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18%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19% </w:t>
            </w:r>
          </w:p>
        </w:tc>
      </w:tr>
      <w:tr w:rsidR="00A87270" w:rsidRPr="00A87270" w:rsidTr="00A8727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Alíquota interestadual de 7%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56,87%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58,78%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60,74% </w:t>
            </w:r>
          </w:p>
        </w:tc>
      </w:tr>
      <w:tr w:rsidR="00A87270" w:rsidRPr="00A87270" w:rsidTr="00A87270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Alíquota interestadual de 12%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48,43%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50,24%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7270" w:rsidRPr="00A87270" w:rsidRDefault="00A87270" w:rsidP="00A872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2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52,10% </w:t>
            </w:r>
          </w:p>
        </w:tc>
      </w:tr>
    </w:tbl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0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nas demais hipóteses, o remetente deverá calcular a correspondente MVA ajustada, na forma do § 1º.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Nova redação dada ao § 4º da cláusula terceira, pelo Prot. ICMS 61/13, efeitos a partir de 01.08.13.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§4º Na impossibilidade de inclusão do valor do frete na composição da base de cálculo, o recolhimento do imposto correspondente será efetuado pelo estabelecimento destinatário, acrescido dos percentuais de margem de valor agregado de que tratam os §§1º, 2º e 6º. </w:t>
      </w:r>
    </w:p>
    <w:p w:rsidR="00A87270" w:rsidRPr="00A87270" w:rsidRDefault="00A87270" w:rsidP="00A8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31.07.13.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4º Na impossibilidade de inclusão do valor do frete na composição da base de cálculo, o recolhimento do imposto correspondente será efetuado pelo estabelecimento destinatário, acrescido dos percentuais de margem de valor agregado de que tratam os §§ 1º, 2º e 3º.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Acrescido o § 5º à cláusula terceira pelo Prot. ICMS 53/12, efeitos a partir de 31.05.12.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5º Nas operações destinadas ao Estado de São Paulo a MVA-ST original a ser aplicada é a prevista em sua legislação interna para os produtos mencionados na cláusula primeira.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terceira O imposto retido pelo contribuinte substituto será calculado mediante a aplicação da alíquota vigente nas operações internas sobre o preço máximo de venda a varejo fixado pela autoridade federal competente, deduzindo-se, do valor obtido, o imposto devido pela operação do próprio fabricante.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Acrescido o § 6º à cláusula terceira pelo Prot. ICMS 61/13, efeitos a partir de 01.08.13.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§6º Na hipótese de a “ALQ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ser inferior à “ALQ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”, deverá ser aplicada a “MVA – ST original”.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à cláusula quarta, revogados os §§ 1º e 2º,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quarta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do imposto retido corresponderá à diferença entre o calculado de acordo com o estabelecido na cláusula segunda e o devido pela operação própria realizada pelo contribuinte que efetuar a substituição tributária.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REVOGADO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REVOGADO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quarta No caso de não haver preço máximo de venda a varejo fixado nos termos da cláusula anterior, o imposto retido pelo contribuinte substituto será calculado da seguinte maneira: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ao montante formado pelo preço praticado pelo remetente nas operações com o comércio varejista, neste preço incluídos o valor do Imposto sobre Produtos Industrializados, o frete e/ou carreto até o estabelecimento varejista e demais despesas debitadas ao destinatário, será adicionada a parcela resultante da aplicação, sobre o referido montante, do percentual de 40% (quarenta por cento);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aplicar-se-á a alíquota vigente nas operações internas sobre o resultado obtido consoante o inciso anterior;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do valor encontrado no inciso II será deduzido o imposto devido pela operação do próprio remetente.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 valor inicial para o cálculo mencionado no inciso I será o preço praticado pelo distribuidor ou atacadista, quando o estabelecimento industrial não realizar operações diretamente com o comércio varejista.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Na remessa para a Zona Franca de Manaus, será deduzido o imposto relativo à operação do remetente, a que se refere o inciso III desta cláusula, ainda que não cobrado em virtude do incentivo fiscal.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à cláusula quinta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quinta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imposto retido deverá ser recolhido, a favor da unidade federada de destino, até o dia 9 (nove) do mês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da saída das mercadorias.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à cláusula quinta pelo Prot. ICMS 52/91, efeitos de 01.01.92 a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Cláusula quinta O imposto retido pelo sujeito passivo por substituição será recolhido em banco oficial estadual signatário do Convênio patrocinado pela Associação Brasileira de Bancos Comerciais Estaduais, até o dia nove do mês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da remessa da mercadoria, mediante a Guia Nacional de Recolhimento de Tributos Estaduais.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à cláusula quinta pelo Prot. ICM 10/87, efeitos de 01.08.87 a 31.12.92.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quinta O imposto retido pelo contribuinte substituto será recolhido até o último dia útil do mês </w:t>
      </w:r>
      <w:proofErr w:type="spell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</w:t>
      </w:r>
      <w:proofErr w:type="spell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da saída da mercadoria, em banco oficial estadual, signatário do convênio patrocinado pela Associação Brasileira de Bancos Comerciais e Estaduais ou que ao mesmo vier a aderir.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recolhimento em favor do Estado do Mato Grosso do Sul será feito nos Bancos por ele credenciados.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a cláusula quinta pelo Prot. ICM 9/86, efeitos de 01.09.86 a 31.07.87.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quinta O imposto retido pelo contribuinte substituto será recolhido em banco oficial estadual, signatário do convênio patrocinado pela Associação Brasileira de Bancos Comerciais Estaduais - ASBACE, publicado em anexo, ou que ao mesmo vier a aderir, no prazo de 60 (sessenta) dias após o mês da saída, mediante impresso fornecido pela Secretaria de Fazenda ou Finanças do Estado de destino (endereços anexos).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recolhimento em favor do Estado do Mato Grosso do Sul será feito nos Bancos por ele credenciados.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31.08.86.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quinta O imposto retido pelo contribuinte substituto será recolhido no Banco do Brasil S.A. ou em banco oficial do Estado de origem ou de destino, no prazo de 60 (sessenta) dias após o mês da saída, mediante impresso fornecido pela Secretaria de Fazenda ou Finanças do Estado de destino (endereços anexos).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Revogada a cláusula sexta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sexta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sexta Por ocasião da saída da mercadoria, o contribuinte substituto emitirá nota fiscal que contenha, além das indicações exigidas na legislação, o valor que serviu de base de cálculo para a retenção e o valor do imposto retido.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Revogada a cláusula sétima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sétima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Cláusula sétima O Estado de destino pode atribuir ao contribuinte substituto número de inscrição e código de atividade econômica no seu cadastro de contribuintes.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O número de inscrição a que se refere esta cláusula deve ser aposto em todo documento dirigido ao Estado de destino, inclusive no documento de arrecadação.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Para os fins previstos no caput, o contribuinte substituto remeterá à Secretaria de Fazenda ou Finanças do Estado de destino: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 cópia do instrumento constitutivo da empresa;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cópia do documento de inscrição no Cadastro Geral de Contribuintes do Ministério da Fazenda - CGC.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A remessa dos documentos pode ser feita por via postal para os endereços citados em anexo.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Revogada a cláusula oitava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oitava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oitava O contribuinte substituto informará à Secretaria de Fazenda ou Finanças do Estado de destino, até o dia 15 (quinze) de cada mês, o montante das operações abrangidas por este Protocolo, efetuadas no mês anterior, bem como o valor total do imposto retido.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Estado de destino poderá instituir documento próprio para a apresentação das informações a que se refere esta cláusula.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Revogada a cláusula nona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nona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nona Para os efeitos legais, considera-se como crédito tributário do Estado de destino o imposto retido, bem como a respectiva atualização monetária e os acréscimos penais e moratórios.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Revogada a cláusula décima pelo Prot. ICMS 6/09, efeitos a partir de 01.06.09.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décima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décima Mediante ciência ao Estado de origem, a fiscalização do contribuinte substituto, quanto às operações previstas neste Protocolo, será feita pelo Estado destinatário, o mesmo ocorrendo em relação à autuação e execução fiscal, podendo, no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entanto, serem efetuadas pelo Estado de origem, ou em conjunto, por solicitação ou acordo entre os Estados interessados.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à cláusula décima primeira pelo Prot. ICMS 53/12, efeitos a partir de 31.05.12.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décima primeira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unidades federadas signatárias darão às operações internas o mesmo tratamento previsto neste protocolo, observado o disposto no § 5º da cláusula terceira.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anterior dada à cláusula décima primeira pelo Prot. ICMS 6/09, efeitos de 01.06.09 a 30.05.12.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décima primeira As unidades federadas signatárias darão às operações internas o mesmo tratamento previsto neste protocolo.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Redação original, efeitos até 31.05.09.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décima primeira Os Estados signatários adotarão o regime de substituição tributária também nas operações internas com as mercadorias de que trata este Protocolo, observado o mesmo percentual. </w:t>
      </w:r>
    </w:p>
    <w:p w:rsidR="00A87270" w:rsidRPr="00A87270" w:rsidRDefault="00A87270" w:rsidP="00A8727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10"/>
          <w:szCs w:val="10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décima segunda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Protocolo entrará em vigor na data de sua publicação no Diário Oficial da União, produzindo efeitos a partir de 1º de setembro de 1985, revogadas as disposições em contrário.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Brasília, DF, em 25 de julho de 1985.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ANEXO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RIO DE JANEIRO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Superintendência de Planejamento Fiscal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Buenos Aires, 29 - </w:t>
      </w:r>
      <w:proofErr w:type="gramStart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 </w:t>
      </w:r>
      <w:r w:rsidRPr="00A87270">
        <w:rPr>
          <w:rFonts w:ascii="Arial" w:eastAsia="Times New Roman" w:hAnsi="Arial" w:cs="Arial"/>
          <w:sz w:val="24"/>
          <w:szCs w:val="24"/>
          <w:lang w:eastAsia="pt-BR"/>
        </w:rPr>
        <w:sym w:font="Courier New" w:char="F0BA"/>
      </w:r>
      <w:r w:rsidRPr="00A8727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>andar</w:t>
      </w:r>
      <w:proofErr w:type="gramEnd"/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20070 - Rio de Janeiro - RJ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PAULO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Coordenação de Administração Tributária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Av. Rangel Pestana, 300 - 8º andar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01091 - São Paulo - SP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AMAZONAS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Av. André Araújo - 150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Bairro do Aleixo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Secretaria da Fazenda </w:t>
      </w:r>
    </w:p>
    <w:p w:rsidR="00A87270" w:rsidRPr="00A87270" w:rsidRDefault="00A87270" w:rsidP="00A872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2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69000 - Manaus - AM </w:t>
      </w:r>
    </w:p>
    <w:p w:rsidR="00F23C0E" w:rsidRDefault="00F23C0E"/>
    <w:sectPr w:rsidR="00F23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70"/>
    <w:rsid w:val="00A87270"/>
    <w:rsid w:val="00F2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9BC31-27BC-49A7-81A4-FCA33A29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acordo">
    <w:name w:val="tituloacord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publicao">
    <w:name w:val="datapublica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87270"/>
    <w:rPr>
      <w:color w:val="0000FF"/>
      <w:u w:val="single"/>
    </w:rPr>
  </w:style>
  <w:style w:type="paragraph" w:customStyle="1" w:styleId="ementa">
    <w:name w:val="ementa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">
    <w:name w:val="textoacord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misso">
    <w:name w:val="remiss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missoant">
    <w:name w:val="remissoant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ant">
    <w:name w:val="redaoant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justificadoverde">
    <w:name w:val="tabelajustificadoverde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ubtitulo">
    <w:name w:val="subtitulo"/>
    <w:basedOn w:val="Normal"/>
    <w:rsid w:val="00A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0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az.fazenda.gov.br/legislacao/protocolos/icms/2008/pt043_08" TargetMode="External"/><Relationship Id="rId13" Type="http://schemas.openxmlformats.org/officeDocument/2006/relationships/hyperlink" Target="https://www.confaz.fazenda.gov.br/legislacao/protocolos/icms/1985/pt026_85" TargetMode="External"/><Relationship Id="rId18" Type="http://schemas.openxmlformats.org/officeDocument/2006/relationships/hyperlink" Target="https://www.confaz.fazenda.gov.br/legislacao/protocolos/icms/1986/pt004_86" TargetMode="External"/><Relationship Id="rId26" Type="http://schemas.openxmlformats.org/officeDocument/2006/relationships/hyperlink" Target="https://www.confaz.fazenda.gov.br/legislacao/protocolos/icms/1998/pt029_98" TargetMode="External"/><Relationship Id="rId39" Type="http://schemas.openxmlformats.org/officeDocument/2006/relationships/hyperlink" Target="https://www.confaz.fazenda.gov.br/legislacao/despachos-do-secretario-executivo/2008/dp046_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faz.fazenda.gov.br/legislacao/protocolos/icms/1991/pt056_91" TargetMode="External"/><Relationship Id="rId34" Type="http://schemas.openxmlformats.org/officeDocument/2006/relationships/hyperlink" Target="https://www.confaz.fazenda.gov.br/legislacao/protocolos/icms/2000/pt034_00" TargetMode="External"/><Relationship Id="rId42" Type="http://schemas.openxmlformats.org/officeDocument/2006/relationships/hyperlink" Target="https://www.confaz.fazenda.gov.br/legislacao/despachos-do-secretario-executivo/2012/dp129_12" TargetMode="External"/><Relationship Id="rId7" Type="http://schemas.openxmlformats.org/officeDocument/2006/relationships/hyperlink" Target="https://www.confaz.fazenda.gov.br/legislacao/protocolos/icms/2001/pt027_01" TargetMode="External"/><Relationship Id="rId12" Type="http://schemas.openxmlformats.org/officeDocument/2006/relationships/hyperlink" Target="https://www.confaz.fazenda.gov.br/legislacao/protocolos/icms/2013/pt061_13" TargetMode="External"/><Relationship Id="rId17" Type="http://schemas.openxmlformats.org/officeDocument/2006/relationships/hyperlink" Target="https://www.confaz.fazenda.gov.br/legislacao/protocolos/icms/1985/pt038_85" TargetMode="External"/><Relationship Id="rId25" Type="http://schemas.openxmlformats.org/officeDocument/2006/relationships/hyperlink" Target="https://www.confaz.fazenda.gov.br/legislacao/protocolos/icms/1998/pt019_98" TargetMode="External"/><Relationship Id="rId33" Type="http://schemas.openxmlformats.org/officeDocument/2006/relationships/hyperlink" Target="https://www.confaz.fazenda.gov.br/legislacao/protocolos/icms/2000/pt026_00" TargetMode="External"/><Relationship Id="rId38" Type="http://schemas.openxmlformats.org/officeDocument/2006/relationships/hyperlink" Target="https://www.confaz.fazenda.gov.br/legislacao/protocolos/icms/2006/pt037_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faz.fazenda.gov.br/legislacao/protocolos/icms/1985/pt039_85" TargetMode="External"/><Relationship Id="rId20" Type="http://schemas.openxmlformats.org/officeDocument/2006/relationships/hyperlink" Target="https://www.confaz.fazenda.gov.br/legislacao/protocolos/icms/1988/pt008_88" TargetMode="External"/><Relationship Id="rId29" Type="http://schemas.openxmlformats.org/officeDocument/2006/relationships/hyperlink" Target="https://www.confaz.fazenda.gov.br/legislacao/protocolos/icms/1999/pt025_99" TargetMode="External"/><Relationship Id="rId41" Type="http://schemas.openxmlformats.org/officeDocument/2006/relationships/hyperlink" Target="https://www.confaz.fazenda.gov.br/legislacao/protocolos/icms/2008/pt131_0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faz.fazenda.gov.br/legislacao/protocolos/icms/1998/pt012_98" TargetMode="External"/><Relationship Id="rId11" Type="http://schemas.openxmlformats.org/officeDocument/2006/relationships/hyperlink" Target="https://www.confaz.fazenda.gov.br/legislacao/protocolos/icms/2012/pt053_12" TargetMode="External"/><Relationship Id="rId24" Type="http://schemas.openxmlformats.org/officeDocument/2006/relationships/hyperlink" Target="https://www.confaz.fazenda.gov.br/legislacao/protocolos/icms/1997/pt017_97" TargetMode="External"/><Relationship Id="rId32" Type="http://schemas.openxmlformats.org/officeDocument/2006/relationships/hyperlink" Target="https://www.confaz.fazenda.gov.br/legislacao/protocolos/icms/2000/pt021_00" TargetMode="External"/><Relationship Id="rId37" Type="http://schemas.openxmlformats.org/officeDocument/2006/relationships/hyperlink" Target="https://www.confaz.fazenda.gov.br/legislacao/protocolos/icms/2002/pt049_02" TargetMode="External"/><Relationship Id="rId40" Type="http://schemas.openxmlformats.org/officeDocument/2006/relationships/hyperlink" Target="https://www.confaz.fazenda.gov.br/legislacao/protocolos/icms/2008/pt034_08" TargetMode="External"/><Relationship Id="rId5" Type="http://schemas.openxmlformats.org/officeDocument/2006/relationships/hyperlink" Target="https://www.confaz.fazenda.gov.br/legislacao/protocolos/icms/1987/pt010_87" TargetMode="External"/><Relationship Id="rId15" Type="http://schemas.openxmlformats.org/officeDocument/2006/relationships/hyperlink" Target="https://www.confaz.fazenda.gov.br/legislacao/protocolos/icms/1985/pt028_85" TargetMode="External"/><Relationship Id="rId23" Type="http://schemas.openxmlformats.org/officeDocument/2006/relationships/hyperlink" Target="https://www.confaz.fazenda.gov.br/legislacao/protocolos/icms/1996/pt021_96" TargetMode="External"/><Relationship Id="rId28" Type="http://schemas.openxmlformats.org/officeDocument/2006/relationships/hyperlink" Target="https://www.confaz.fazenda.gov.br/legislacao/protocolos/icms/1999/pt003_99" TargetMode="External"/><Relationship Id="rId36" Type="http://schemas.openxmlformats.org/officeDocument/2006/relationships/hyperlink" Target="https://www.confaz.fazenda.gov.br/legislacao/protocolos/icms/2001/pt027_01" TargetMode="External"/><Relationship Id="rId10" Type="http://schemas.openxmlformats.org/officeDocument/2006/relationships/hyperlink" Target="https://www.confaz.fazenda.gov.br/legislacao/protocolos/icms/2009/pt078_09" TargetMode="External"/><Relationship Id="rId19" Type="http://schemas.openxmlformats.org/officeDocument/2006/relationships/hyperlink" Target="https://www.confaz.fazenda.gov.br/legislacao/protocolos/icms/1987/pt019_87" TargetMode="External"/><Relationship Id="rId31" Type="http://schemas.openxmlformats.org/officeDocument/2006/relationships/hyperlink" Target="https://www.confaz.fazenda.gov.br/legislacao/protocolos/icms/2000/pt018_00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faz.fazenda.gov.br/legislacao/protocolos/icms/1986/pt009_86" TargetMode="External"/><Relationship Id="rId9" Type="http://schemas.openxmlformats.org/officeDocument/2006/relationships/hyperlink" Target="https://www.confaz.fazenda.gov.br/legislacao/protocolos/icms/2009/pt006_09" TargetMode="External"/><Relationship Id="rId14" Type="http://schemas.openxmlformats.org/officeDocument/2006/relationships/hyperlink" Target="https://www.confaz.fazenda.gov.br/legislacao/protocolos/icms/1985/pt027_85" TargetMode="External"/><Relationship Id="rId22" Type="http://schemas.openxmlformats.org/officeDocument/2006/relationships/hyperlink" Target="https://www.confaz.fazenda.gov.br/legislacao/protocolos/icms/1993/pt012_93" TargetMode="External"/><Relationship Id="rId27" Type="http://schemas.openxmlformats.org/officeDocument/2006/relationships/hyperlink" Target="https://www.confaz.fazenda.gov.br/legislacao/protocolos/icms/1998/pt037_98" TargetMode="External"/><Relationship Id="rId30" Type="http://schemas.openxmlformats.org/officeDocument/2006/relationships/hyperlink" Target="https://www.confaz.fazenda.gov.br/legislacao/protocolos/icms/2000/pt006_00" TargetMode="External"/><Relationship Id="rId35" Type="http://schemas.openxmlformats.org/officeDocument/2006/relationships/hyperlink" Target="https://www.confaz.fazenda.gov.br/legislacao/protocolos/icms/2000/pt049_0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3950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25234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sefa</cp:lastModifiedBy>
  <cp:revision>1</cp:revision>
  <dcterms:created xsi:type="dcterms:W3CDTF">2015-04-29T14:28:00Z</dcterms:created>
  <dcterms:modified xsi:type="dcterms:W3CDTF">2015-04-29T14:30:00Z</dcterms:modified>
</cp:coreProperties>
</file>